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489" w:rsidRPr="00147489" w:rsidRDefault="00147489" w:rsidP="00147489">
      <w:pPr>
        <w:spacing w:before="200" w:after="100" w:line="240" w:lineRule="auto"/>
        <w:outlineLvl w:val="1"/>
        <w:rPr>
          <w:rFonts w:ascii="Arial" w:eastAsia="Times New Roman" w:hAnsi="Arial" w:cs="Arial"/>
          <w:b/>
          <w:bCs/>
          <w:sz w:val="27"/>
          <w:szCs w:val="27"/>
        </w:rPr>
      </w:pPr>
      <w:r w:rsidRPr="00147489">
        <w:rPr>
          <w:rFonts w:ascii="Arial" w:eastAsia="Times New Roman" w:hAnsi="Arial" w:cs="Arial"/>
          <w:b/>
          <w:bCs/>
          <w:sz w:val="27"/>
          <w:szCs w:val="27"/>
        </w:rPr>
        <w:t>Subpart Dc—Standards of Performance for Small Industrial-Commercial-Institutional Steam Generating Units</w:t>
      </w:r>
    </w:p>
    <w:p w:rsidR="00147489" w:rsidRPr="00147489" w:rsidRDefault="00147489" w:rsidP="00147489">
      <w:pPr>
        <w:spacing w:after="0" w:line="240" w:lineRule="auto"/>
        <w:rPr>
          <w:rFonts w:ascii="Arial" w:eastAsia="Times New Roman" w:hAnsi="Arial" w:cs="Arial"/>
          <w:sz w:val="20"/>
          <w:szCs w:val="20"/>
        </w:rPr>
      </w:pPr>
      <w:r w:rsidRPr="00147489">
        <w:rPr>
          <w:rFonts w:ascii="Arial" w:eastAsia="Times New Roman" w:hAnsi="Arial" w:cs="Arial"/>
          <w:sz w:val="20"/>
          <w:szCs w:val="20"/>
        </w:rPr>
        <w:pict>
          <v:rect id="_x0000_i1051" style="width:0;height:1.5pt" o:hrstd="t" o:hr="t" fillcolor="#a0a0a0" stroked="f"/>
        </w:pict>
      </w:r>
    </w:p>
    <w:p w:rsidR="00147489" w:rsidRPr="00147489" w:rsidRDefault="00147489" w:rsidP="00147489">
      <w:pPr>
        <w:spacing w:after="0" w:line="240" w:lineRule="auto"/>
        <w:rPr>
          <w:rFonts w:ascii="Arial" w:eastAsia="Times New Roman" w:hAnsi="Arial" w:cs="Arial"/>
          <w:sz w:val="20"/>
          <w:szCs w:val="20"/>
        </w:rPr>
      </w:pPr>
      <w:r w:rsidRPr="00147489">
        <w:rPr>
          <w:rFonts w:ascii="Arial" w:eastAsia="Times New Roman" w:hAnsi="Arial" w:cs="Arial"/>
          <w:b/>
          <w:bCs/>
          <w:sz w:val="20"/>
          <w:szCs w:val="20"/>
        </w:rPr>
        <w:t>Contents</w:t>
      </w:r>
      <w:r w:rsidRPr="00147489">
        <w:rPr>
          <w:rFonts w:ascii="Arial" w:eastAsia="Times New Roman" w:hAnsi="Arial" w:cs="Arial"/>
          <w:sz w:val="20"/>
          <w:szCs w:val="20"/>
        </w:rPr>
        <w:br/>
      </w:r>
      <w:hyperlink r:id="rId4" w:anchor="40:7.0.1.1.1.12.151.1" w:history="1">
        <w:r w:rsidRPr="00147489">
          <w:rPr>
            <w:rFonts w:ascii="Arial" w:eastAsia="Times New Roman" w:hAnsi="Arial" w:cs="Arial"/>
            <w:color w:val="0000FF"/>
            <w:sz w:val="17"/>
            <w:szCs w:val="17"/>
          </w:rPr>
          <w:t>§60.40c   Applicability and delegation of authority.</w:t>
        </w:r>
      </w:hyperlink>
      <w:r w:rsidRPr="00147489">
        <w:rPr>
          <w:rFonts w:ascii="Arial" w:eastAsia="Times New Roman" w:hAnsi="Arial" w:cs="Arial"/>
          <w:sz w:val="20"/>
          <w:szCs w:val="20"/>
        </w:rPr>
        <w:br/>
      </w:r>
      <w:hyperlink r:id="rId5" w:anchor="40:7.0.1.1.1.12.151.2" w:history="1">
        <w:r w:rsidRPr="00147489">
          <w:rPr>
            <w:rFonts w:ascii="Arial" w:eastAsia="Times New Roman" w:hAnsi="Arial" w:cs="Arial"/>
            <w:color w:val="0000FF"/>
            <w:sz w:val="17"/>
            <w:szCs w:val="17"/>
          </w:rPr>
          <w:t>§60.41c   Definitions.</w:t>
        </w:r>
      </w:hyperlink>
      <w:r w:rsidRPr="00147489">
        <w:rPr>
          <w:rFonts w:ascii="Arial" w:eastAsia="Times New Roman" w:hAnsi="Arial" w:cs="Arial"/>
          <w:sz w:val="20"/>
          <w:szCs w:val="20"/>
        </w:rPr>
        <w:br/>
      </w:r>
      <w:hyperlink r:id="rId6" w:anchor="40:7.0.1.1.1.12.151.3" w:history="1">
        <w:r w:rsidRPr="00147489">
          <w:rPr>
            <w:rFonts w:ascii="Arial" w:eastAsia="Times New Roman" w:hAnsi="Arial" w:cs="Arial"/>
            <w:color w:val="0000FF"/>
            <w:sz w:val="17"/>
            <w:szCs w:val="17"/>
          </w:rPr>
          <w:t>§60.42c   Standard for sulfur dioxide (SO</w:t>
        </w:r>
        <w:r w:rsidRPr="00147489">
          <w:rPr>
            <w:rFonts w:ascii="Arial" w:eastAsia="Times New Roman" w:hAnsi="Arial" w:cs="Arial"/>
            <w:color w:val="0000FF"/>
            <w:sz w:val="12"/>
            <w:szCs w:val="12"/>
            <w:vertAlign w:val="subscript"/>
          </w:rPr>
          <w:t>2</w:t>
        </w:r>
        <w:r w:rsidRPr="00147489">
          <w:rPr>
            <w:rFonts w:ascii="Arial" w:eastAsia="Times New Roman" w:hAnsi="Arial" w:cs="Arial"/>
            <w:color w:val="0000FF"/>
            <w:sz w:val="17"/>
            <w:szCs w:val="17"/>
          </w:rPr>
          <w:t>).</w:t>
        </w:r>
      </w:hyperlink>
      <w:r w:rsidRPr="00147489">
        <w:rPr>
          <w:rFonts w:ascii="Arial" w:eastAsia="Times New Roman" w:hAnsi="Arial" w:cs="Arial"/>
          <w:sz w:val="20"/>
          <w:szCs w:val="20"/>
        </w:rPr>
        <w:br/>
      </w:r>
      <w:hyperlink r:id="rId7" w:anchor="40:7.0.1.1.1.12.151.4" w:history="1">
        <w:r w:rsidRPr="00147489">
          <w:rPr>
            <w:rFonts w:ascii="Arial" w:eastAsia="Times New Roman" w:hAnsi="Arial" w:cs="Arial"/>
            <w:color w:val="0000FF"/>
            <w:sz w:val="17"/>
            <w:szCs w:val="17"/>
          </w:rPr>
          <w:t>§60.43c   Standard for particulate matter (PM).</w:t>
        </w:r>
      </w:hyperlink>
      <w:r w:rsidRPr="00147489">
        <w:rPr>
          <w:rFonts w:ascii="Arial" w:eastAsia="Times New Roman" w:hAnsi="Arial" w:cs="Arial"/>
          <w:sz w:val="20"/>
          <w:szCs w:val="20"/>
        </w:rPr>
        <w:br/>
      </w:r>
      <w:hyperlink r:id="rId8" w:anchor="40:7.0.1.1.1.12.151.5" w:history="1">
        <w:r w:rsidRPr="00147489">
          <w:rPr>
            <w:rFonts w:ascii="Arial" w:eastAsia="Times New Roman" w:hAnsi="Arial" w:cs="Arial"/>
            <w:color w:val="0000FF"/>
            <w:sz w:val="17"/>
            <w:szCs w:val="17"/>
          </w:rPr>
          <w:t>§60.44c   Compliance and performance test methods and procedures for sulfur dioxide.</w:t>
        </w:r>
      </w:hyperlink>
      <w:r w:rsidRPr="00147489">
        <w:rPr>
          <w:rFonts w:ascii="Arial" w:eastAsia="Times New Roman" w:hAnsi="Arial" w:cs="Arial"/>
          <w:sz w:val="20"/>
          <w:szCs w:val="20"/>
        </w:rPr>
        <w:br/>
      </w:r>
      <w:hyperlink r:id="rId9" w:anchor="40:7.0.1.1.1.12.151.6" w:history="1">
        <w:r w:rsidRPr="00147489">
          <w:rPr>
            <w:rFonts w:ascii="Arial" w:eastAsia="Times New Roman" w:hAnsi="Arial" w:cs="Arial"/>
            <w:color w:val="0000FF"/>
            <w:sz w:val="17"/>
            <w:szCs w:val="17"/>
          </w:rPr>
          <w:t>§60.45c   Compliance and performance test methods and procedures for particulate matter.</w:t>
        </w:r>
      </w:hyperlink>
      <w:r w:rsidRPr="00147489">
        <w:rPr>
          <w:rFonts w:ascii="Arial" w:eastAsia="Times New Roman" w:hAnsi="Arial" w:cs="Arial"/>
          <w:sz w:val="20"/>
          <w:szCs w:val="20"/>
        </w:rPr>
        <w:br/>
      </w:r>
      <w:hyperlink r:id="rId10" w:anchor="40:7.0.1.1.1.12.151.7" w:history="1">
        <w:r w:rsidRPr="00147489">
          <w:rPr>
            <w:rFonts w:ascii="Arial" w:eastAsia="Times New Roman" w:hAnsi="Arial" w:cs="Arial"/>
            <w:color w:val="0000FF"/>
            <w:sz w:val="17"/>
            <w:szCs w:val="17"/>
          </w:rPr>
          <w:t>§60.46c   Emission monitoring for sulfur dioxide.</w:t>
        </w:r>
      </w:hyperlink>
      <w:r w:rsidRPr="00147489">
        <w:rPr>
          <w:rFonts w:ascii="Arial" w:eastAsia="Times New Roman" w:hAnsi="Arial" w:cs="Arial"/>
          <w:sz w:val="20"/>
          <w:szCs w:val="20"/>
        </w:rPr>
        <w:br/>
      </w:r>
      <w:hyperlink r:id="rId11" w:anchor="40:7.0.1.1.1.12.151.8" w:history="1">
        <w:r w:rsidRPr="00147489">
          <w:rPr>
            <w:rFonts w:ascii="Arial" w:eastAsia="Times New Roman" w:hAnsi="Arial" w:cs="Arial"/>
            <w:color w:val="0000FF"/>
            <w:sz w:val="17"/>
            <w:szCs w:val="17"/>
          </w:rPr>
          <w:t>§60.47c   Emission monitoring for particulate matter.</w:t>
        </w:r>
      </w:hyperlink>
      <w:r w:rsidRPr="00147489">
        <w:rPr>
          <w:rFonts w:ascii="Arial" w:eastAsia="Times New Roman" w:hAnsi="Arial" w:cs="Arial"/>
          <w:sz w:val="20"/>
          <w:szCs w:val="20"/>
        </w:rPr>
        <w:br/>
      </w:r>
      <w:hyperlink r:id="rId12" w:anchor="40:7.0.1.1.1.12.151.9" w:history="1">
        <w:r w:rsidRPr="00147489">
          <w:rPr>
            <w:rFonts w:ascii="Arial" w:eastAsia="Times New Roman" w:hAnsi="Arial" w:cs="Arial"/>
            <w:color w:val="0000FF"/>
            <w:sz w:val="17"/>
            <w:szCs w:val="17"/>
          </w:rPr>
          <w:t>§60.48c   Reporting and recordkeeping requirements.</w:t>
        </w:r>
      </w:hyperlink>
    </w:p>
    <w:p w:rsidR="00147489" w:rsidRPr="00147489" w:rsidRDefault="00147489" w:rsidP="00147489">
      <w:pPr>
        <w:spacing w:line="240" w:lineRule="auto"/>
        <w:rPr>
          <w:rFonts w:ascii="Arial" w:eastAsia="Times New Roman" w:hAnsi="Arial" w:cs="Arial"/>
          <w:sz w:val="20"/>
          <w:szCs w:val="20"/>
        </w:rPr>
      </w:pPr>
      <w:r w:rsidRPr="00147489">
        <w:rPr>
          <w:rFonts w:ascii="Arial" w:eastAsia="Times New Roman" w:hAnsi="Arial" w:cs="Arial"/>
          <w:sz w:val="20"/>
          <w:szCs w:val="20"/>
        </w:rPr>
        <w:pict>
          <v:rect id="_x0000_i1052" style="width:0;height:1.5pt" o:hrstd="t" o:hr="t" fillcolor="#a0a0a0" stroked="f"/>
        </w:pict>
      </w:r>
    </w:p>
    <w:p w:rsidR="00147489" w:rsidRDefault="00147489" w:rsidP="00147489">
      <w:pPr>
        <w:spacing w:before="200" w:after="100" w:line="240" w:lineRule="auto"/>
        <w:outlineLvl w:val="1"/>
        <w:rPr>
          <w:rFonts w:ascii="Arial" w:eastAsia="Times New Roman" w:hAnsi="Arial" w:cs="Arial"/>
          <w:sz w:val="24"/>
          <w:szCs w:val="24"/>
        </w:rPr>
      </w:pPr>
      <w:r w:rsidRPr="00147489">
        <w:rPr>
          <w:rFonts w:ascii="Arial" w:eastAsia="Times New Roman" w:hAnsi="Arial" w:cs="Arial"/>
          <w:smallCaps/>
          <w:sz w:val="24"/>
          <w:szCs w:val="24"/>
        </w:rPr>
        <w:t>Source:</w:t>
      </w:r>
      <w:r w:rsidRPr="00147489">
        <w:rPr>
          <w:rFonts w:ascii="Arial" w:eastAsia="Times New Roman" w:hAnsi="Arial" w:cs="Arial"/>
          <w:sz w:val="24"/>
          <w:szCs w:val="24"/>
        </w:rPr>
        <w:t xml:space="preserve"> 72 FR 32759, June 13, 2007, unless otherwise noted. </w:t>
      </w:r>
    </w:p>
    <w:p w:rsidR="00147489" w:rsidRPr="00147489" w:rsidRDefault="00147489" w:rsidP="00147489">
      <w:pPr>
        <w:spacing w:before="200" w:after="100" w:line="240" w:lineRule="auto"/>
        <w:outlineLvl w:val="1"/>
        <w:rPr>
          <w:rFonts w:ascii="Arial" w:eastAsia="Times New Roman" w:hAnsi="Arial" w:cs="Arial"/>
          <w:b/>
          <w:bCs/>
          <w:sz w:val="20"/>
          <w:szCs w:val="20"/>
        </w:rPr>
      </w:pPr>
      <w:r w:rsidRPr="00147489">
        <w:rPr>
          <w:rFonts w:ascii="Arial" w:eastAsia="Times New Roman" w:hAnsi="Arial" w:cs="Arial"/>
          <w:b/>
          <w:bCs/>
          <w:sz w:val="20"/>
          <w:szCs w:val="20"/>
        </w:rPr>
        <w:t>§60.40c   Applicability and delegation of authority.</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/h)) or less, but greater than or equal to 2.9 MW (10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(b) In delegating implementation and enforcement authority to a State under section 111(c) of the Clean Air Act, §</w:t>
      </w:r>
      <w:proofErr w:type="gramStart"/>
      <w:r w:rsidRPr="00147489">
        <w:rPr>
          <w:rFonts w:ascii="Arial" w:eastAsia="Times New Roman" w:hAnsi="Arial" w:cs="Arial"/>
          <w:sz w:val="20"/>
          <w:szCs w:val="20"/>
        </w:rPr>
        <w:t>60.48c(</w:t>
      </w:r>
      <w:proofErr w:type="gramEnd"/>
      <w:r w:rsidRPr="00147489">
        <w:rPr>
          <w:rFonts w:ascii="Arial" w:eastAsia="Times New Roman" w:hAnsi="Arial" w:cs="Arial"/>
          <w:sz w:val="20"/>
          <w:szCs w:val="20"/>
        </w:rPr>
        <w:t>a)(4) shall be retained by the A</w:t>
      </w:r>
      <w:bookmarkStart w:id="0" w:name="_GoBack"/>
      <w:bookmarkEnd w:id="0"/>
      <w:r w:rsidRPr="00147489">
        <w:rPr>
          <w:rFonts w:ascii="Arial" w:eastAsia="Times New Roman" w:hAnsi="Arial" w:cs="Arial"/>
          <w:sz w:val="20"/>
          <w:szCs w:val="20"/>
        </w:rPr>
        <w:t>dministrator and not transferred to a State.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(c) Steam generating units that meet the applicability requirements in paragraph (a) of this section are not subject to the sulfur dioxide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or particulate matter (PM) emission limits, performance testing requirements, or monitoring requirements under this subpart (§§60.42c, 60.43c, 60.44c, 60.45c, 60.46c, or 60.47c) during periods of combustion research, as defined in §60.41c.</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(d) Any temporary change to an existing steam generating unit for the purpose of conducting combustion research is not considered a modification under §60.14.</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(e) Affected facilities (</w:t>
      </w:r>
      <w:r w:rsidRPr="00147489">
        <w:rPr>
          <w:rFonts w:ascii="Arial" w:eastAsia="Times New Roman" w:hAnsi="Arial" w:cs="Arial"/>
          <w:i/>
          <w:iCs/>
          <w:sz w:val="20"/>
          <w:szCs w:val="20"/>
        </w:rPr>
        <w:t>i.e.</w:t>
      </w:r>
      <w:r w:rsidRPr="00147489">
        <w:rPr>
          <w:rFonts w:ascii="Arial" w:eastAsia="Times New Roman" w:hAnsi="Arial" w:cs="Arial"/>
          <w:sz w:val="20"/>
          <w:szCs w:val="20"/>
        </w:rPr>
        <w:t xml:space="preserve"> 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/h) heat input of fossil fuel but less than or equal to 29 MW (100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(f) Any affected facility that meets the applicability requirements of and is subject to subpart AAAA or subpart CCCC of this part is not subject to this subpart.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(g) Any facility that meets the applicability requirements and is subject to an EPA approved State or Federal section 111(d)/129 plan implementing subpart BBBB of this part is not subject to this subpart.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 xml:space="preserve">(h) Affected facilities that also meet the applicability requirements under subpart J or subpart </w:t>
      </w:r>
      <w:proofErr w:type="spellStart"/>
      <w:r w:rsidRPr="00147489">
        <w:rPr>
          <w:rFonts w:ascii="Arial" w:eastAsia="Times New Roman" w:hAnsi="Arial" w:cs="Arial"/>
          <w:sz w:val="20"/>
          <w:szCs w:val="20"/>
        </w:rPr>
        <w:t>Ja</w:t>
      </w:r>
      <w:proofErr w:type="spellEnd"/>
      <w:r w:rsidRPr="00147489">
        <w:rPr>
          <w:rFonts w:ascii="Arial" w:eastAsia="Times New Roman" w:hAnsi="Arial" w:cs="Arial"/>
          <w:sz w:val="20"/>
          <w:szCs w:val="20"/>
        </w:rPr>
        <w:t xml:space="preserve"> of this part are subject to the PM and NO</w:t>
      </w:r>
      <w:r w:rsidRPr="00147489">
        <w:rPr>
          <w:rFonts w:ascii="Arial" w:eastAsia="Times New Roman" w:hAnsi="Arial" w:cs="Arial"/>
          <w:sz w:val="14"/>
          <w:szCs w:val="14"/>
          <w:vertAlign w:val="subscript"/>
        </w:rPr>
        <w:t>X</w:t>
      </w:r>
      <w:r w:rsidRPr="00147489">
        <w:rPr>
          <w:rFonts w:ascii="Arial" w:eastAsia="Times New Roman" w:hAnsi="Arial" w:cs="Arial"/>
          <w:sz w:val="20"/>
          <w:szCs w:val="20"/>
        </w:rPr>
        <w:t xml:space="preserve"> standards under this subpart and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standards under subpart J or subpart </w:t>
      </w:r>
      <w:proofErr w:type="spellStart"/>
      <w:r w:rsidRPr="00147489">
        <w:rPr>
          <w:rFonts w:ascii="Arial" w:eastAsia="Times New Roman" w:hAnsi="Arial" w:cs="Arial"/>
          <w:sz w:val="20"/>
          <w:szCs w:val="20"/>
        </w:rPr>
        <w:t>Ja</w:t>
      </w:r>
      <w:proofErr w:type="spellEnd"/>
      <w:r w:rsidRPr="00147489">
        <w:rPr>
          <w:rFonts w:ascii="Arial" w:eastAsia="Times New Roman" w:hAnsi="Arial" w:cs="Arial"/>
          <w:sz w:val="20"/>
          <w:szCs w:val="20"/>
        </w:rPr>
        <w:t xml:space="preserve"> of this part, as applicable.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Temporary boilers are not subject to this subpart.</w:t>
      </w:r>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[72 FR 32759, June 13, 2007, as amended at 74 FR 5090, Jan. 28, 2009; 77 FR 9461, Feb. 16, 2012]</w:t>
      </w:r>
    </w:p>
    <w:p w:rsidR="00147489" w:rsidRPr="00147489" w:rsidRDefault="00147489" w:rsidP="00147489">
      <w:pPr>
        <w:spacing w:before="200" w:after="100" w:afterAutospacing="1" w:line="240" w:lineRule="auto"/>
        <w:rPr>
          <w:rFonts w:ascii="Arial" w:eastAsia="Times New Roman" w:hAnsi="Arial" w:cs="Arial"/>
          <w:sz w:val="20"/>
          <w:szCs w:val="20"/>
        </w:rPr>
      </w:pPr>
      <w:hyperlink r:id="rId13" w:anchor="_top" w:history="1">
        <w:r w:rsidRPr="00147489">
          <w:rPr>
            <w:rFonts w:ascii="Arial" w:eastAsia="Times New Roman" w:hAnsi="Arial" w:cs="Arial"/>
            <w:noProof/>
            <w:color w:val="0000FF"/>
            <w:sz w:val="17"/>
            <w:szCs w:val="17"/>
          </w:rPr>
          <w:drawing>
            <wp:inline distT="0" distB="0" distL="0" distR="0">
              <wp:extent cx="152400" cy="152400"/>
              <wp:effectExtent l="0" t="0" r="0" b="0"/>
              <wp:docPr id="13" name="Picture 13"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489">
          <w:rPr>
            <w:rFonts w:ascii="Arial" w:eastAsia="Times New Roman" w:hAnsi="Arial" w:cs="Arial"/>
            <w:color w:val="0000FF"/>
            <w:sz w:val="17"/>
            <w:szCs w:val="17"/>
          </w:rPr>
          <w:t>Back to Top</w:t>
        </w:r>
      </w:hyperlink>
    </w:p>
    <w:p w:rsidR="00147489" w:rsidRPr="00147489" w:rsidRDefault="00147489" w:rsidP="00147489">
      <w:pPr>
        <w:spacing w:before="200" w:after="100" w:line="240" w:lineRule="auto"/>
        <w:outlineLvl w:val="1"/>
        <w:rPr>
          <w:rFonts w:ascii="Arial" w:eastAsia="Times New Roman" w:hAnsi="Arial" w:cs="Arial"/>
          <w:b/>
          <w:bCs/>
          <w:sz w:val="20"/>
          <w:szCs w:val="20"/>
        </w:rPr>
      </w:pPr>
      <w:bookmarkStart w:id="1" w:name="40:7.0.1.1.1.12.151.2"/>
      <w:bookmarkEnd w:id="1"/>
      <w:r w:rsidRPr="00147489">
        <w:rPr>
          <w:rFonts w:ascii="Arial" w:eastAsia="Times New Roman" w:hAnsi="Arial" w:cs="Arial"/>
          <w:b/>
          <w:bCs/>
          <w:sz w:val="20"/>
          <w:szCs w:val="20"/>
        </w:rPr>
        <w:t>§60.41c   Definitions.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As used in this subpart, all terms not defined herein shall have the meaning given them in the Clean Air Act and in subpart 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Annual capacity factor</w:t>
      </w:r>
      <w:r w:rsidRPr="00147489">
        <w:rPr>
          <w:rFonts w:ascii="Arial" w:eastAsia="Times New Roman" w:hAnsi="Arial" w:cs="Arial"/>
          <w:sz w:val="20"/>
          <w:szCs w:val="20"/>
        </w:rPr>
        <w:t xml:space="preserve"> 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Coal</w:t>
      </w:r>
      <w:r w:rsidRPr="00147489">
        <w:rPr>
          <w:rFonts w:ascii="Arial" w:eastAsia="Times New Roman" w:hAnsi="Arial" w:cs="Arial"/>
          <w:sz w:val="20"/>
          <w:szCs w:val="20"/>
        </w:rPr>
        <w:t xml:space="preserve"> 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Coal refuse</w:t>
      </w:r>
      <w:r w:rsidRPr="00147489">
        <w:rPr>
          <w:rFonts w:ascii="Arial" w:eastAsia="Times New Roman" w:hAnsi="Arial" w:cs="Arial"/>
          <w:sz w:val="20"/>
          <w:szCs w:val="20"/>
        </w:rPr>
        <w:t xml:space="preserve"> means any by-product of coal mining or coal cleaning operations with an ash content greater than 50 percent (by weight) and a heating value less than 13,900 kilojoules per kilogram (kJ/kg) (6,000 Btu per pound (Btu/</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 on a dry basis.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Combined cycle system</w:t>
      </w:r>
      <w:r w:rsidRPr="00147489">
        <w:rPr>
          <w:rFonts w:ascii="Arial" w:eastAsia="Times New Roman" w:hAnsi="Arial" w:cs="Arial"/>
          <w:sz w:val="20"/>
          <w:szCs w:val="20"/>
        </w:rPr>
        <w:t xml:space="preserve"> means a system in which a separate source (such as a stationary gas turbine, internal combustion engine, or kiln) provides exhaust gas to a steam generating unit.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Combustion research</w:t>
      </w:r>
      <w:r w:rsidRPr="00147489">
        <w:rPr>
          <w:rFonts w:ascii="Arial" w:eastAsia="Times New Roman" w:hAnsi="Arial" w:cs="Arial"/>
          <w:sz w:val="20"/>
          <w:szCs w:val="20"/>
        </w:rPr>
        <w:t xml:space="preserve"> 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w:t>
      </w:r>
      <w:r w:rsidRPr="00147489">
        <w:rPr>
          <w:rFonts w:ascii="Arial" w:eastAsia="Times New Roman" w:hAnsi="Arial" w:cs="Arial"/>
          <w:i/>
          <w:iCs/>
          <w:sz w:val="20"/>
          <w:szCs w:val="20"/>
        </w:rPr>
        <w:t>i.e.</w:t>
      </w:r>
      <w:r w:rsidRPr="00147489">
        <w:rPr>
          <w:rFonts w:ascii="Arial" w:eastAsia="Times New Roman" w:hAnsi="Arial" w:cs="Arial"/>
          <w:sz w:val="20"/>
          <w:szCs w:val="20"/>
        </w:rPr>
        <w:t>, the heat generated is released to the atmosphere without being used for space heating, process heating, driving pumps, preheating combustion air for other units, generating electricity, or any other purpose).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Conventional technology</w:t>
      </w:r>
      <w:r w:rsidRPr="00147489">
        <w:rPr>
          <w:rFonts w:ascii="Arial" w:eastAsia="Times New Roman" w:hAnsi="Arial" w:cs="Arial"/>
          <w:sz w:val="20"/>
          <w:szCs w:val="20"/>
        </w:rPr>
        <w:t xml:space="preserve"> means wet flue gas desulfurization technology, dry flue gas desulfurization technology, atmospheric fluidized bed combustion technology, and oil </w:t>
      </w:r>
      <w:proofErr w:type="spellStart"/>
      <w:r w:rsidRPr="00147489">
        <w:rPr>
          <w:rFonts w:ascii="Arial" w:eastAsia="Times New Roman" w:hAnsi="Arial" w:cs="Arial"/>
          <w:sz w:val="20"/>
          <w:szCs w:val="20"/>
        </w:rPr>
        <w:t>hydrodesulfurization</w:t>
      </w:r>
      <w:proofErr w:type="spellEnd"/>
      <w:r w:rsidRPr="00147489">
        <w:rPr>
          <w:rFonts w:ascii="Arial" w:eastAsia="Times New Roman" w:hAnsi="Arial" w:cs="Arial"/>
          <w:sz w:val="20"/>
          <w:szCs w:val="20"/>
        </w:rPr>
        <w:t xml:space="preserve"> technology.</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Distillate oil</w:t>
      </w:r>
      <w:r w:rsidRPr="00147489">
        <w:rPr>
          <w:rFonts w:ascii="Arial" w:eastAsia="Times New Roman" w:hAnsi="Arial" w:cs="Arial"/>
          <w:sz w:val="20"/>
          <w:szCs w:val="20"/>
        </w:rPr>
        <w:t xml:space="preserve"> means fuel oil that complies with the specifications for fuel oil numbers 1 or 2, as defined by the American Society for Testing and Materials in ASTM D396 (incorporated by reference, see §60.17), diesel fuel oil numbers 1 or 2, as defined by the American Society for Testing and Materials in ASTM D975 (incorporated by reference, see §60.17), </w:t>
      </w:r>
      <w:proofErr w:type="spellStart"/>
      <w:r w:rsidRPr="00147489">
        <w:rPr>
          <w:rFonts w:ascii="Arial" w:eastAsia="Times New Roman" w:hAnsi="Arial" w:cs="Arial"/>
          <w:sz w:val="20"/>
          <w:szCs w:val="20"/>
        </w:rPr>
        <w:t>kerosine</w:t>
      </w:r>
      <w:proofErr w:type="spellEnd"/>
      <w:r w:rsidRPr="00147489">
        <w:rPr>
          <w:rFonts w:ascii="Arial" w:eastAsia="Times New Roman" w:hAnsi="Arial" w:cs="Arial"/>
          <w:sz w:val="20"/>
          <w:szCs w:val="20"/>
        </w:rPr>
        <w:t xml:space="preserve">, as defined by the American Society of Testing and Materials in ASTM D3699 (incorporated by reference, see §60.17), biodiesel as defined by </w:t>
      </w:r>
      <w:r w:rsidRPr="00147489">
        <w:rPr>
          <w:rFonts w:ascii="Arial" w:eastAsia="Times New Roman" w:hAnsi="Arial" w:cs="Arial"/>
          <w:sz w:val="20"/>
          <w:szCs w:val="20"/>
        </w:rPr>
        <w:lastRenderedPageBreak/>
        <w:t>the American Society of Testing and Materials in ASTM D6751 (incorporated by reference, see §60.17), or biodiesel blends as defined by the American Society of Testing and Materials in ASTM D7467 (incorporated by reference, see §60.17).</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Dry flue gas desulfurization technology</w:t>
      </w:r>
      <w:r w:rsidRPr="00147489">
        <w:rPr>
          <w:rFonts w:ascii="Arial" w:eastAsia="Times New Roman" w:hAnsi="Arial" w:cs="Arial"/>
          <w:sz w:val="20"/>
          <w:szCs w:val="20"/>
        </w:rPr>
        <w:t xml:space="preserve"> means a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Duct burner</w:t>
      </w:r>
      <w:r w:rsidRPr="00147489">
        <w:rPr>
          <w:rFonts w:ascii="Arial" w:eastAsia="Times New Roman" w:hAnsi="Arial" w:cs="Arial"/>
          <w:sz w:val="20"/>
          <w:szCs w:val="20"/>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Emerging technology</w:t>
      </w:r>
      <w:r w:rsidRPr="00147489">
        <w:rPr>
          <w:rFonts w:ascii="Arial" w:eastAsia="Times New Roman" w:hAnsi="Arial" w:cs="Arial"/>
          <w:sz w:val="20"/>
          <w:szCs w:val="20"/>
        </w:rPr>
        <w:t xml:space="preserve"> means any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system that is not defined as a conventional technology under this section, and for which the owner or operator of the affected facility has received approval from the Administrator to operate as an emerging technology under §</w:t>
      </w:r>
      <w:proofErr w:type="gramStart"/>
      <w:r w:rsidRPr="00147489">
        <w:rPr>
          <w:rFonts w:ascii="Arial" w:eastAsia="Times New Roman" w:hAnsi="Arial" w:cs="Arial"/>
          <w:sz w:val="20"/>
          <w:szCs w:val="20"/>
        </w:rPr>
        <w:t>60.48c(</w:t>
      </w:r>
      <w:proofErr w:type="gramEnd"/>
      <w:r w:rsidRPr="00147489">
        <w:rPr>
          <w:rFonts w:ascii="Arial" w:eastAsia="Times New Roman" w:hAnsi="Arial" w:cs="Arial"/>
          <w:sz w:val="20"/>
          <w:szCs w:val="20"/>
        </w:rPr>
        <w:t>a)(4).</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Federally enforceable</w:t>
      </w:r>
      <w:r w:rsidRPr="00147489">
        <w:rPr>
          <w:rFonts w:ascii="Arial" w:eastAsia="Times New Roman" w:hAnsi="Arial" w:cs="Arial"/>
          <w:sz w:val="20"/>
          <w:szCs w:val="20"/>
        </w:rPr>
        <w:t xml:space="preserve"> 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Fluidized bed combustion technology</w:t>
      </w:r>
      <w:r w:rsidRPr="00147489">
        <w:rPr>
          <w:rFonts w:ascii="Arial" w:eastAsia="Times New Roman" w:hAnsi="Arial" w:cs="Arial"/>
          <w:sz w:val="20"/>
          <w:szCs w:val="20"/>
        </w:rPr>
        <w:t xml:space="preserve"> 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Fuel pretreatment</w:t>
      </w:r>
      <w:r w:rsidRPr="00147489">
        <w:rPr>
          <w:rFonts w:ascii="Arial" w:eastAsia="Times New Roman" w:hAnsi="Arial" w:cs="Arial"/>
          <w:sz w:val="20"/>
          <w:szCs w:val="20"/>
        </w:rPr>
        <w:t xml:space="preserve"> means a process that removes a portion of the sulfur in a fuel before combustion of the fuel in a steam generating unit.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Heat input</w:t>
      </w:r>
      <w:r w:rsidRPr="00147489">
        <w:rPr>
          <w:rFonts w:ascii="Arial" w:eastAsia="Times New Roman" w:hAnsi="Arial" w:cs="Arial"/>
          <w:sz w:val="20"/>
          <w:szCs w:val="20"/>
        </w:rPr>
        <w:t xml:space="preserve"> 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Heat transfer medium</w:t>
      </w:r>
      <w:r w:rsidRPr="00147489">
        <w:rPr>
          <w:rFonts w:ascii="Arial" w:eastAsia="Times New Roman" w:hAnsi="Arial" w:cs="Arial"/>
          <w:sz w:val="20"/>
          <w:szCs w:val="20"/>
        </w:rPr>
        <w:t xml:space="preserve"> means any material that is used to transfer heat from one point to another point.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Maximum design heat input capacity</w:t>
      </w:r>
      <w:r w:rsidRPr="00147489">
        <w:rPr>
          <w:rFonts w:ascii="Arial" w:eastAsia="Times New Roman" w:hAnsi="Arial" w:cs="Arial"/>
          <w:sz w:val="20"/>
          <w:szCs w:val="20"/>
        </w:rPr>
        <w:t xml:space="preserve"> means the ability of a steam generating unit to combust a stated maximum amount of fuel (or combination of fuels) on a steady state basis as determined by the physical design and characteristics of the steam generating unit.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Natural gas</w:t>
      </w:r>
      <w:r w:rsidRPr="00147489">
        <w:rPr>
          <w:rFonts w:ascii="Arial" w:eastAsia="Times New Roman" w:hAnsi="Arial" w:cs="Arial"/>
          <w:sz w:val="20"/>
          <w:szCs w:val="20"/>
        </w:rPr>
        <w:t xml:space="preserve"> means: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(1) A naturally occurring mixture of hydrocarbon and </w:t>
      </w:r>
      <w:proofErr w:type="spellStart"/>
      <w:r w:rsidRPr="00147489">
        <w:rPr>
          <w:rFonts w:ascii="Arial" w:eastAsia="Times New Roman" w:hAnsi="Arial" w:cs="Arial"/>
          <w:sz w:val="20"/>
          <w:szCs w:val="20"/>
        </w:rPr>
        <w:t>nonhydrocarbon</w:t>
      </w:r>
      <w:proofErr w:type="spellEnd"/>
      <w:r w:rsidRPr="00147489">
        <w:rPr>
          <w:rFonts w:ascii="Arial" w:eastAsia="Times New Roman" w:hAnsi="Arial" w:cs="Arial"/>
          <w:sz w:val="20"/>
          <w:szCs w:val="20"/>
        </w:rPr>
        <w:t xml:space="preserve"> gases found in geologic formations beneath the earth's surface, of which the principal constituent is methane; 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Liquefied petroleum (LP) gas, as defined by the American Society for Testing and Materials in ASTM D1835 (incorporated by reference, see §60.17); 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 xml:space="preserve">(3) A mixture of hydrocarbons that maintains a gaseous state at ISO conditions. Additionally, natural gas must either be composed of at least 70 percent methane by volume or have a gross calorific value between 34 and 43 </w:t>
      </w:r>
      <w:proofErr w:type="spellStart"/>
      <w:r w:rsidRPr="00147489">
        <w:rPr>
          <w:rFonts w:ascii="Arial" w:eastAsia="Times New Roman" w:hAnsi="Arial" w:cs="Arial"/>
          <w:sz w:val="20"/>
          <w:szCs w:val="20"/>
        </w:rPr>
        <w:t>megajoules</w:t>
      </w:r>
      <w:proofErr w:type="spellEnd"/>
      <w:r w:rsidRPr="00147489">
        <w:rPr>
          <w:rFonts w:ascii="Arial" w:eastAsia="Times New Roman" w:hAnsi="Arial" w:cs="Arial"/>
          <w:sz w:val="20"/>
          <w:szCs w:val="20"/>
        </w:rPr>
        <w:t xml:space="preserve"> (MJ) per dry standard cubic meter (910 and 1,150 Btu per dry standard cubic foot).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proofErr w:type="spellStart"/>
      <w:r w:rsidRPr="00147489">
        <w:rPr>
          <w:rFonts w:ascii="Arial" w:eastAsia="Times New Roman" w:hAnsi="Arial" w:cs="Arial"/>
          <w:i/>
          <w:iCs/>
          <w:sz w:val="20"/>
          <w:szCs w:val="20"/>
        </w:rPr>
        <w:t>Noncontinental</w:t>
      </w:r>
      <w:proofErr w:type="spellEnd"/>
      <w:r w:rsidRPr="00147489">
        <w:rPr>
          <w:rFonts w:ascii="Arial" w:eastAsia="Times New Roman" w:hAnsi="Arial" w:cs="Arial"/>
          <w:i/>
          <w:iCs/>
          <w:sz w:val="20"/>
          <w:szCs w:val="20"/>
        </w:rPr>
        <w:t xml:space="preserve"> area</w:t>
      </w:r>
      <w:r w:rsidRPr="00147489">
        <w:rPr>
          <w:rFonts w:ascii="Arial" w:eastAsia="Times New Roman" w:hAnsi="Arial" w:cs="Arial"/>
          <w:sz w:val="20"/>
          <w:szCs w:val="20"/>
        </w:rPr>
        <w:t xml:space="preserve"> means the State of Hawaii, the Virgin Islands, Guam, American Samoa, the Commonwealth of Puerto Rico, or the Northern Mariana Islands.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Oil</w:t>
      </w:r>
      <w:r w:rsidRPr="00147489">
        <w:rPr>
          <w:rFonts w:ascii="Arial" w:eastAsia="Times New Roman" w:hAnsi="Arial" w:cs="Arial"/>
          <w:sz w:val="20"/>
          <w:szCs w:val="20"/>
        </w:rPr>
        <w:t xml:space="preserve"> means crude oil or petroleum, or a liquid fuel derived from crude oil or petroleum, including distillate oil and residual oil.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Potential sulfur dioxide emission rate</w:t>
      </w:r>
      <w:r w:rsidRPr="00147489">
        <w:rPr>
          <w:rFonts w:ascii="Arial" w:eastAsia="Times New Roman" w:hAnsi="Arial" w:cs="Arial"/>
          <w:sz w:val="20"/>
          <w:szCs w:val="20"/>
        </w:rPr>
        <w:t xml:space="preserve"> means the theoretical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emissions (</w:t>
      </w:r>
      <w:proofErr w:type="spellStart"/>
      <w:r w:rsidRPr="00147489">
        <w:rPr>
          <w:rFonts w:ascii="Arial" w:eastAsia="Times New Roman" w:hAnsi="Arial" w:cs="Arial"/>
          <w:sz w:val="20"/>
          <w:szCs w:val="20"/>
        </w:rPr>
        <w:t>nanograms</w:t>
      </w:r>
      <w:proofErr w:type="spellEnd"/>
      <w:r w:rsidRPr="00147489">
        <w:rPr>
          <w:rFonts w:ascii="Arial" w:eastAsia="Times New Roman" w:hAnsi="Arial" w:cs="Arial"/>
          <w:sz w:val="20"/>
          <w:szCs w:val="20"/>
        </w:rPr>
        <w:t xml:space="preserve"> per joule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or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 heat input) that would result from combusting fuel in an </w:t>
      </w:r>
      <w:proofErr w:type="spellStart"/>
      <w:r w:rsidRPr="00147489">
        <w:rPr>
          <w:rFonts w:ascii="Arial" w:eastAsia="Times New Roman" w:hAnsi="Arial" w:cs="Arial"/>
          <w:sz w:val="20"/>
          <w:szCs w:val="20"/>
        </w:rPr>
        <w:t>uncleaned</w:t>
      </w:r>
      <w:proofErr w:type="spellEnd"/>
      <w:r w:rsidRPr="00147489">
        <w:rPr>
          <w:rFonts w:ascii="Arial" w:eastAsia="Times New Roman" w:hAnsi="Arial" w:cs="Arial"/>
          <w:sz w:val="20"/>
          <w:szCs w:val="20"/>
        </w:rPr>
        <w:t xml:space="preserve"> state and without using emission control systems.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Process heater</w:t>
      </w:r>
      <w:r w:rsidRPr="00147489">
        <w:rPr>
          <w:rFonts w:ascii="Arial" w:eastAsia="Times New Roman" w:hAnsi="Arial" w:cs="Arial"/>
          <w:sz w:val="20"/>
          <w:szCs w:val="20"/>
        </w:rPr>
        <w:t xml:space="preserve"> means a device that is primarily used to heat a material to initiate or promote a chemical reaction in which the material participates as a reactant or catalyst.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Residual oil</w:t>
      </w:r>
      <w:r w:rsidRPr="00147489">
        <w:rPr>
          <w:rFonts w:ascii="Arial" w:eastAsia="Times New Roman" w:hAnsi="Arial" w:cs="Arial"/>
          <w:sz w:val="20"/>
          <w:szCs w:val="20"/>
        </w:rPr>
        <w:t xml:space="preserve"> means crude oil, fuel oil that does not comply with the specifications under the definition of distillate oil, and all fuel oil numbers 4, 5, and 6, as defined by the American Society for Testing and Materials in ASTM D396 (incorporated by reference, see §60.17).</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Steam generating unit</w:t>
      </w:r>
      <w:r w:rsidRPr="00147489">
        <w:rPr>
          <w:rFonts w:ascii="Arial" w:eastAsia="Times New Roman" w:hAnsi="Arial" w:cs="Arial"/>
          <w:sz w:val="20"/>
          <w:szCs w:val="20"/>
        </w:rPr>
        <w:t xml:space="preserve"> 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Steam generating unit operating day</w:t>
      </w:r>
      <w:r w:rsidRPr="00147489">
        <w:rPr>
          <w:rFonts w:ascii="Arial" w:eastAsia="Times New Roman" w:hAnsi="Arial" w:cs="Arial"/>
          <w:sz w:val="20"/>
          <w:szCs w:val="20"/>
        </w:rPr>
        <w:t xml:space="preserve"> means a 24-hour period between 12:00 midnight and the following midnight during which any fuel is combusted at any time in the steam generating unit. It is not necessary for fuel to be combusted continuously for the entire 24-hour period.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Temporary boiler</w:t>
      </w:r>
      <w:r w:rsidRPr="00147489">
        <w:rPr>
          <w:rFonts w:ascii="Arial" w:eastAsia="Times New Roman" w:hAnsi="Arial" w:cs="Arial"/>
          <w:sz w:val="20"/>
          <w:szCs w:val="20"/>
        </w:rPr>
        <w:t xml:space="preserve"> means a steam generating unit that combusts natural gas or distillate oil with a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emissions rate no greater than 26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(0.060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The equipment is attached to a foundation.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The equipment is located at a seasonal facility and operates during the full annual operating period of the seasonal facility, remains at the facility for at least 2 years, and operates at that facility for at least 3 months each year.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(4) The equipment is moved from one location to another in an attempt to circumvent the residence time requirements of this definition.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Wet flue gas desulfurization technology</w:t>
      </w:r>
      <w:r w:rsidRPr="00147489">
        <w:rPr>
          <w:rFonts w:ascii="Arial" w:eastAsia="Times New Roman" w:hAnsi="Arial" w:cs="Arial"/>
          <w:sz w:val="20"/>
          <w:szCs w:val="20"/>
        </w:rPr>
        <w:t xml:space="preserve"> means an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w:t>
      </w:r>
      <w:r w:rsidRPr="00147489">
        <w:rPr>
          <w:rFonts w:ascii="Arial" w:eastAsia="Times New Roman" w:hAnsi="Arial" w:cs="Arial"/>
          <w:sz w:val="20"/>
          <w:szCs w:val="20"/>
        </w:rPr>
        <w:lastRenderedPageBreak/>
        <w:t>converted to another form. Alkaline reagents used in wet flue gas desulfurization systems include, but are not limited to, lime, limestone, and sodium compounds.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Wet scrubber system</w:t>
      </w:r>
      <w:r w:rsidRPr="00147489">
        <w:rPr>
          <w:rFonts w:ascii="Arial" w:eastAsia="Times New Roman" w:hAnsi="Arial" w:cs="Arial"/>
          <w:sz w:val="20"/>
          <w:szCs w:val="20"/>
        </w:rPr>
        <w:t xml:space="preserve"> means any emission control device that mixes an aqueous stream or slurry with the exhaust gases from a steam generating unit to control emissions of PM or SO</w:t>
      </w:r>
      <w:r w:rsidRPr="00147489">
        <w:rPr>
          <w:rFonts w:ascii="Arial" w:eastAsia="Times New Roman" w:hAnsi="Arial" w:cs="Arial"/>
          <w:sz w:val="14"/>
          <w:szCs w:val="14"/>
          <w:vertAlign w:val="subscript"/>
        </w:rPr>
        <w:t>2.</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i/>
          <w:iCs/>
          <w:sz w:val="20"/>
          <w:szCs w:val="20"/>
        </w:rPr>
        <w:t>Wood</w:t>
      </w:r>
      <w:r w:rsidRPr="00147489">
        <w:rPr>
          <w:rFonts w:ascii="Arial" w:eastAsia="Times New Roman" w:hAnsi="Arial" w:cs="Arial"/>
          <w:sz w:val="20"/>
          <w:szCs w:val="20"/>
        </w:rPr>
        <w:t xml:space="preserve"> means wood, wood residue, bark, or any derivative fuel or residue thereof, in any form, including but not limited to sawdust, </w:t>
      </w:r>
      <w:proofErr w:type="spellStart"/>
      <w:r w:rsidRPr="00147489">
        <w:rPr>
          <w:rFonts w:ascii="Arial" w:eastAsia="Times New Roman" w:hAnsi="Arial" w:cs="Arial"/>
          <w:sz w:val="20"/>
          <w:szCs w:val="20"/>
        </w:rPr>
        <w:t>sanderdust</w:t>
      </w:r>
      <w:proofErr w:type="spellEnd"/>
      <w:r w:rsidRPr="00147489">
        <w:rPr>
          <w:rFonts w:ascii="Arial" w:eastAsia="Times New Roman" w:hAnsi="Arial" w:cs="Arial"/>
          <w:sz w:val="20"/>
          <w:szCs w:val="20"/>
        </w:rPr>
        <w:t>, wood chips, scraps, slabs, millings, shavings, and processed pellets made from wood or other forest residues.</w:t>
      </w:r>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[72 FR 32759, June 13, 2007, as amended at 74 FR 5090, Jan. 28, 2009; 77 FR 9461, Feb. 16, 2012]</w:t>
      </w:r>
    </w:p>
    <w:p w:rsidR="00147489" w:rsidRPr="00147489" w:rsidRDefault="00147489" w:rsidP="00147489">
      <w:pPr>
        <w:spacing w:before="200" w:after="100" w:afterAutospacing="1" w:line="240" w:lineRule="auto"/>
        <w:rPr>
          <w:rFonts w:ascii="Arial" w:eastAsia="Times New Roman" w:hAnsi="Arial" w:cs="Arial"/>
          <w:sz w:val="20"/>
          <w:szCs w:val="20"/>
        </w:rPr>
      </w:pPr>
      <w:hyperlink r:id="rId16" w:anchor="_top" w:history="1">
        <w:r w:rsidRPr="00147489">
          <w:rPr>
            <w:rFonts w:ascii="Arial" w:eastAsia="Times New Roman" w:hAnsi="Arial" w:cs="Arial"/>
            <w:noProof/>
            <w:color w:val="0000FF"/>
            <w:sz w:val="17"/>
            <w:szCs w:val="17"/>
          </w:rPr>
          <w:drawing>
            <wp:inline distT="0" distB="0" distL="0" distR="0">
              <wp:extent cx="152400" cy="152400"/>
              <wp:effectExtent l="0" t="0" r="0" b="0"/>
              <wp:docPr id="12" name="Picture 12"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489">
          <w:rPr>
            <w:rFonts w:ascii="Arial" w:eastAsia="Times New Roman" w:hAnsi="Arial" w:cs="Arial"/>
            <w:color w:val="0000FF"/>
            <w:sz w:val="17"/>
            <w:szCs w:val="17"/>
          </w:rPr>
          <w:t>Back to Top</w:t>
        </w:r>
      </w:hyperlink>
    </w:p>
    <w:p w:rsidR="00147489" w:rsidRPr="00147489" w:rsidRDefault="00147489" w:rsidP="00147489">
      <w:pPr>
        <w:spacing w:before="200" w:after="100" w:line="240" w:lineRule="auto"/>
        <w:outlineLvl w:val="1"/>
        <w:rPr>
          <w:rFonts w:ascii="Arial" w:eastAsia="Times New Roman" w:hAnsi="Arial" w:cs="Arial"/>
          <w:b/>
          <w:bCs/>
          <w:sz w:val="20"/>
          <w:szCs w:val="20"/>
        </w:rPr>
      </w:pPr>
      <w:bookmarkStart w:id="2" w:name="40:7.0.1.1.1.12.151.3"/>
      <w:bookmarkEnd w:id="2"/>
      <w:r w:rsidRPr="00147489">
        <w:rPr>
          <w:rFonts w:ascii="Arial" w:eastAsia="Times New Roman" w:hAnsi="Arial" w:cs="Arial"/>
          <w:b/>
          <w:bCs/>
          <w:sz w:val="20"/>
          <w:szCs w:val="20"/>
        </w:rPr>
        <w:t>§60.42c   Standard for sulfur dioxide (SO</w:t>
      </w:r>
      <w:r w:rsidRPr="00147489">
        <w:rPr>
          <w:rFonts w:ascii="Arial" w:eastAsia="Times New Roman" w:hAnsi="Arial" w:cs="Arial"/>
          <w:b/>
          <w:bCs/>
          <w:sz w:val="14"/>
          <w:szCs w:val="14"/>
          <w:vertAlign w:val="subscript"/>
        </w:rPr>
        <w:t>2</w:t>
      </w:r>
      <w:r w:rsidRPr="00147489">
        <w:rPr>
          <w:rFonts w:ascii="Arial" w:eastAsia="Times New Roman" w:hAnsi="Arial" w:cs="Arial"/>
          <w:b/>
          <w:bCs/>
          <w:sz w:val="20"/>
          <w:szCs w:val="20"/>
        </w:rPr>
        <w: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87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(0.20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or 10 percent (0.10) of the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(90 percent reduction), nor cause to be discharged into the atmosphere from the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520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(1.2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If coal is combusted with other fuels, the affected facility shall neither: cause to be discharged into the atmosphere from the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87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(0.20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or 10 percent (0.10) of the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(90 percent reduction), nor cause to be discharged into the atmosphere from the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the emission limit is determined pursuant to paragraph (e)(2)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(b) Except as provided in paragraphs (c) and (e) of this section, on and after the date on which the performance test is completed or required to be completed under §60.8, whichever date comes first, the owner or operator of an affected facility that: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(1) Combusts only coal refuse alone in a fluidized bed combustion steam generating unit shall </w:t>
      </w:r>
      <w:proofErr w:type="gramStart"/>
      <w:r w:rsidRPr="00147489">
        <w:rPr>
          <w:rFonts w:ascii="Arial" w:eastAsia="Times New Roman" w:hAnsi="Arial" w:cs="Arial"/>
          <w:sz w:val="20"/>
          <w:szCs w:val="20"/>
        </w:rPr>
        <w:t>neither:</w:t>
      </w:r>
      <w:proofErr w:type="gramEnd"/>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Cause to be discharged into the atmosphere from that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87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(0.20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or 20 percent (0.20) of the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(80 percent reduction); nor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Cause to be discharged into the atmosphere from that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520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(1.2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 heat input. If coal is fired with coal refuse, the affected facility subject to paragraph (a) of this section. If oil or any other fuel (except coal) is fired with coal refuse, the affected facility is subject to the 87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(0.20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emissions limit or the 90 percent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reduction requirement specified in paragraph (a) of this section and the emission limit is determined pursuant to paragraph (e)(2)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Combusts only coal and that uses an emerging technology for the control of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emissions shall neither: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Cause to be discharged into the atmosphere from that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50 percent (0.50) of the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(50 percent reduction); nor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(ii) Cause to be discharged into the atmosphere from that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260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(0.60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If coal is combusted with other fuels, the affected facility is subject to the 50 percent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reduction requirement specified in this paragraph and the emission limit determined pursuant to paragraph (e)(2)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the emission limit determined pursuant to paragraph (e)(2) of this section. Percent reduction requirements are not applicable to affected facilities under paragraphs (c</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1), (2), (3), or (4).</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(1) Affected facilities that have a heat input capacity of 22 MW (75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 or less;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Affected facilities that have an annual capacity for coal of 55 percent (0.55) or less and are subject to a federally enforceable requirement limiting operation of the affected facility to an annual capacity factor for coal of 55 percent (0.55) or less.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(3) Affected facilities located in a </w:t>
      </w:r>
      <w:proofErr w:type="spellStart"/>
      <w:r w:rsidRPr="00147489">
        <w:rPr>
          <w:rFonts w:ascii="Arial" w:eastAsia="Times New Roman" w:hAnsi="Arial" w:cs="Arial"/>
          <w:sz w:val="20"/>
          <w:szCs w:val="20"/>
        </w:rPr>
        <w:t>noncontinental</w:t>
      </w:r>
      <w:proofErr w:type="spellEnd"/>
      <w:r w:rsidRPr="00147489">
        <w:rPr>
          <w:rFonts w:ascii="Arial" w:eastAsia="Times New Roman" w:hAnsi="Arial" w:cs="Arial"/>
          <w:sz w:val="20"/>
          <w:szCs w:val="20"/>
        </w:rPr>
        <w:t xml:space="preserve"> area; 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215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(0.50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 excess of the following:</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The percent of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or numerical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required under paragraph (a) or (b)(2) of this section, as applicable, for any affected facility that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Combusts coal in combination with any other fuel;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(ii) Has a heat input capacity greater than 22 MW (75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Has an annual capacity factor for coal greater than 55 percent (0.55);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The emission limit determined according to the following formula for any affected facility that combusts coal, oil, or coal and oil with any other fuel:</w:t>
      </w:r>
    </w:p>
    <w:p w:rsidR="00147489" w:rsidRPr="00147489" w:rsidRDefault="00147489" w:rsidP="00147489">
      <w:pPr>
        <w:spacing w:after="0" w:line="240" w:lineRule="auto"/>
        <w:rPr>
          <w:rFonts w:ascii="Arial" w:eastAsia="Times New Roman" w:hAnsi="Arial" w:cs="Arial"/>
          <w:sz w:val="20"/>
          <w:szCs w:val="20"/>
        </w:rPr>
      </w:pPr>
      <w:r w:rsidRPr="00147489">
        <w:rPr>
          <w:rFonts w:ascii="Arial" w:eastAsia="Times New Roman" w:hAnsi="Arial" w:cs="Arial"/>
          <w:noProof/>
          <w:sz w:val="20"/>
          <w:szCs w:val="20"/>
        </w:rPr>
        <w:lastRenderedPageBreak/>
        <w:drawing>
          <wp:inline distT="0" distB="0" distL="0" distR="0">
            <wp:extent cx="1543050" cy="400050"/>
            <wp:effectExtent l="0" t="0" r="0" b="0"/>
            <wp:docPr id="11" name="Picture 11" descr="eCFR graphic 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FR graphic er28ja09.005.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43050" cy="400050"/>
                    </a:xfrm>
                    <a:prstGeom prst="rect">
                      <a:avLst/>
                    </a:prstGeom>
                    <a:noFill/>
                    <a:ln>
                      <a:noFill/>
                    </a:ln>
                  </pic:spPr>
                </pic:pic>
              </a:graphicData>
            </a:graphic>
          </wp:inline>
        </w:drawing>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hyperlink r:id="rId18" w:history="1">
        <w:r w:rsidRPr="00147489">
          <w:rPr>
            <w:rFonts w:ascii="Arial" w:eastAsia="Times New Roman" w:hAnsi="Arial" w:cs="Arial"/>
            <w:color w:val="0000FF"/>
            <w:sz w:val="17"/>
            <w:szCs w:val="17"/>
          </w:rPr>
          <w:t>View or download PDF</w:t>
        </w:r>
      </w:hyperlink>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Where:</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s</w:t>
      </w:r>
      <w:proofErr w:type="spellEnd"/>
      <w:r w:rsidRPr="00147489">
        <w:rPr>
          <w:rFonts w:ascii="Arial" w:eastAsia="Times New Roman" w:hAnsi="Arial" w:cs="Arial"/>
          <w:sz w:val="18"/>
          <w:szCs w:val="18"/>
        </w:rPr>
        <w:t xml:space="preserve"> =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emission limit, expressed in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 xml:space="preserve">/J or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 xml:space="preserve"> heat input;</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K</w:t>
      </w:r>
      <w:r w:rsidRPr="00147489">
        <w:rPr>
          <w:rFonts w:ascii="Arial" w:eastAsia="Times New Roman" w:hAnsi="Arial" w:cs="Arial"/>
          <w:sz w:val="13"/>
          <w:szCs w:val="13"/>
          <w:vertAlign w:val="subscript"/>
        </w:rPr>
        <w:t>a</w:t>
      </w:r>
      <w:proofErr w:type="spellEnd"/>
      <w:r w:rsidRPr="00147489">
        <w:rPr>
          <w:rFonts w:ascii="Arial" w:eastAsia="Times New Roman" w:hAnsi="Arial" w:cs="Arial"/>
          <w:sz w:val="18"/>
          <w:szCs w:val="18"/>
        </w:rPr>
        <w:t xml:space="preserve"> = 520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 xml:space="preserve">/J (1.2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200" w:after="100" w:line="240" w:lineRule="auto"/>
        <w:ind w:left="960" w:hanging="960"/>
        <w:rPr>
          <w:rFonts w:ascii="Arial" w:eastAsia="Times New Roman" w:hAnsi="Arial" w:cs="Arial"/>
          <w:sz w:val="18"/>
          <w:szCs w:val="18"/>
        </w:rPr>
      </w:pPr>
      <w:r w:rsidRPr="00147489">
        <w:rPr>
          <w:rFonts w:ascii="Arial" w:eastAsia="Times New Roman" w:hAnsi="Arial" w:cs="Arial"/>
          <w:sz w:val="18"/>
          <w:szCs w:val="18"/>
        </w:rPr>
        <w:t>K</w:t>
      </w:r>
      <w:r w:rsidRPr="00147489">
        <w:rPr>
          <w:rFonts w:ascii="Arial" w:eastAsia="Times New Roman" w:hAnsi="Arial" w:cs="Arial"/>
          <w:sz w:val="13"/>
          <w:szCs w:val="13"/>
          <w:vertAlign w:val="subscript"/>
        </w:rPr>
        <w:t>b</w:t>
      </w:r>
      <w:r w:rsidRPr="00147489">
        <w:rPr>
          <w:rFonts w:ascii="Arial" w:eastAsia="Times New Roman" w:hAnsi="Arial" w:cs="Arial"/>
          <w:sz w:val="18"/>
          <w:szCs w:val="18"/>
        </w:rPr>
        <w:t xml:space="preserve"> = 260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 xml:space="preserve">/J (0.60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K</w:t>
      </w:r>
      <w:r w:rsidRPr="00147489">
        <w:rPr>
          <w:rFonts w:ascii="Arial" w:eastAsia="Times New Roman" w:hAnsi="Arial" w:cs="Arial"/>
          <w:sz w:val="13"/>
          <w:szCs w:val="13"/>
          <w:vertAlign w:val="subscript"/>
        </w:rPr>
        <w:t>c</w:t>
      </w:r>
      <w:proofErr w:type="spellEnd"/>
      <w:r w:rsidRPr="00147489">
        <w:rPr>
          <w:rFonts w:ascii="Arial" w:eastAsia="Times New Roman" w:hAnsi="Arial" w:cs="Arial"/>
          <w:sz w:val="18"/>
          <w:szCs w:val="18"/>
        </w:rPr>
        <w:t xml:space="preserve"> = 215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 xml:space="preserve">/J (0.50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200" w:after="100" w:line="240" w:lineRule="auto"/>
        <w:ind w:left="960" w:hanging="960"/>
        <w:rPr>
          <w:rFonts w:ascii="Arial" w:eastAsia="Times New Roman" w:hAnsi="Arial" w:cs="Arial"/>
          <w:sz w:val="18"/>
          <w:szCs w:val="18"/>
        </w:rPr>
      </w:pPr>
      <w:r w:rsidRPr="00147489">
        <w:rPr>
          <w:rFonts w:ascii="Arial" w:eastAsia="Times New Roman" w:hAnsi="Arial" w:cs="Arial"/>
          <w:sz w:val="18"/>
          <w:szCs w:val="18"/>
        </w:rPr>
        <w:t>H</w:t>
      </w:r>
      <w:r w:rsidRPr="00147489">
        <w:rPr>
          <w:rFonts w:ascii="Arial" w:eastAsia="Times New Roman" w:hAnsi="Arial" w:cs="Arial"/>
          <w:sz w:val="13"/>
          <w:szCs w:val="13"/>
          <w:vertAlign w:val="subscript"/>
        </w:rPr>
        <w:t>a</w:t>
      </w:r>
      <w:r w:rsidRPr="00147489">
        <w:rPr>
          <w:rFonts w:ascii="Arial" w:eastAsia="Times New Roman" w:hAnsi="Arial" w:cs="Arial"/>
          <w:sz w:val="18"/>
          <w:szCs w:val="18"/>
        </w:rPr>
        <w:t xml:space="preserve"> = Heat input from the combustion of coal, except coal combusted in an affected facility subject to paragraph (b</w:t>
      </w:r>
      <w:proofErr w:type="gramStart"/>
      <w:r w:rsidRPr="00147489">
        <w:rPr>
          <w:rFonts w:ascii="Arial" w:eastAsia="Times New Roman" w:hAnsi="Arial" w:cs="Arial"/>
          <w:sz w:val="18"/>
          <w:szCs w:val="18"/>
        </w:rPr>
        <w:t>)(</w:t>
      </w:r>
      <w:proofErr w:type="gramEnd"/>
      <w:r w:rsidRPr="00147489">
        <w:rPr>
          <w:rFonts w:ascii="Arial" w:eastAsia="Times New Roman" w:hAnsi="Arial" w:cs="Arial"/>
          <w:sz w:val="18"/>
          <w:szCs w:val="18"/>
        </w:rPr>
        <w:t>2) of this section, in Joules (J) [</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H</w:t>
      </w:r>
      <w:r w:rsidRPr="00147489">
        <w:rPr>
          <w:rFonts w:ascii="Arial" w:eastAsia="Times New Roman" w:hAnsi="Arial" w:cs="Arial"/>
          <w:sz w:val="13"/>
          <w:szCs w:val="13"/>
          <w:vertAlign w:val="subscript"/>
        </w:rPr>
        <w:t>b</w:t>
      </w:r>
      <w:proofErr w:type="spellEnd"/>
      <w:r w:rsidRPr="00147489">
        <w:rPr>
          <w:rFonts w:ascii="Arial" w:eastAsia="Times New Roman" w:hAnsi="Arial" w:cs="Arial"/>
          <w:sz w:val="18"/>
          <w:szCs w:val="18"/>
        </w:rPr>
        <w:t xml:space="preserve"> = Heat input from the combustion of coal in an affected facility subject to paragraph (b</w:t>
      </w:r>
      <w:proofErr w:type="gramStart"/>
      <w:r w:rsidRPr="00147489">
        <w:rPr>
          <w:rFonts w:ascii="Arial" w:eastAsia="Times New Roman" w:hAnsi="Arial" w:cs="Arial"/>
          <w:sz w:val="18"/>
          <w:szCs w:val="18"/>
        </w:rPr>
        <w:t>)(</w:t>
      </w:r>
      <w:proofErr w:type="gramEnd"/>
      <w:r w:rsidRPr="00147489">
        <w:rPr>
          <w:rFonts w:ascii="Arial" w:eastAsia="Times New Roman" w:hAnsi="Arial" w:cs="Arial"/>
          <w:sz w:val="18"/>
          <w:szCs w:val="18"/>
        </w:rPr>
        <w:t>2) of this section, in J (</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 and</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H</w:t>
      </w:r>
      <w:r w:rsidRPr="00147489">
        <w:rPr>
          <w:rFonts w:ascii="Arial" w:eastAsia="Times New Roman" w:hAnsi="Arial" w:cs="Arial"/>
          <w:sz w:val="13"/>
          <w:szCs w:val="13"/>
          <w:vertAlign w:val="subscript"/>
        </w:rPr>
        <w:t>c</w:t>
      </w:r>
      <w:proofErr w:type="spellEnd"/>
      <w:r w:rsidRPr="00147489">
        <w:rPr>
          <w:rFonts w:ascii="Arial" w:eastAsia="Times New Roman" w:hAnsi="Arial" w:cs="Arial"/>
          <w:sz w:val="18"/>
          <w:szCs w:val="18"/>
        </w:rPr>
        <w:t xml:space="preserve"> = Heat input from the combustion of oil, in J (</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(f) Reduction in the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through fuel pretreatment is not credited toward the percent reduction requirement under paragraph (b</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2) of this section unless: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Fuel pretreatment results in a 50 percent (0.50) or greater reduction in the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Emissions from the pretreated fuel (without either combustion or post-combustion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are equal to or less than the emission limits specified under paragraph (b</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2)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(g) Except as provided in paragraph (h) of this section, compliance with the percent reduction requirements, fuel oil sulfur limits, and emission limits of this section shall be determined on a 30-day rolling average basis.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(h) For affected facilities listed under paragraphs (h)(1), (2), (3), or (4) of this section, compliance with the emission limits or fuel oil sulfur limits under this section may be determined based on a certification from the fuel supplier, as described under §60.48c(f), as applicable.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(1) Distillate oil-fired affected facilities with heat input capacities between 2.9 and 29 MW (10 and 100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hr</w:t>
      </w:r>
      <w:proofErr w:type="spellEnd"/>
      <w:r w:rsidRPr="00147489">
        <w:rPr>
          <w:rFonts w:ascii="Arial" w:eastAsia="Times New Roman" w:hAnsi="Arial" w:cs="Arial"/>
          <w:sz w:val="20"/>
          <w:szCs w:val="20"/>
        </w:rPr>
        <w: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(2) Residual oil-fired affected facilities with heat input capacities between 2.9 and 8.7 MW (10 and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hr</w:t>
      </w:r>
      <w:proofErr w:type="spellEnd"/>
      <w:r w:rsidRPr="00147489">
        <w:rPr>
          <w:rFonts w:ascii="Arial" w:eastAsia="Times New Roman" w:hAnsi="Arial" w:cs="Arial"/>
          <w:sz w:val="20"/>
          <w:szCs w:val="20"/>
        </w:rPr>
        <w: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(3) Coal-fired affected facilities with heat input capacities between 2.9 and 8.7 MW (10 and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(4) Other fuels-fired affected facilities with heat input capacities between 2.9 and 8.7 MW (10 and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limits, fuel oil sulfur limits, and percent reduction requirements under this section apply at all times, including periods of startup, shutdown, and malfunction.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 xml:space="preserve">(j) For affected facilities located in </w:t>
      </w:r>
      <w:proofErr w:type="spellStart"/>
      <w:r w:rsidRPr="00147489">
        <w:rPr>
          <w:rFonts w:ascii="Arial" w:eastAsia="Times New Roman" w:hAnsi="Arial" w:cs="Arial"/>
          <w:sz w:val="20"/>
          <w:szCs w:val="20"/>
        </w:rPr>
        <w:t>noncontinental</w:t>
      </w:r>
      <w:proofErr w:type="spellEnd"/>
      <w:r w:rsidRPr="00147489">
        <w:rPr>
          <w:rFonts w:ascii="Arial" w:eastAsia="Times New Roman" w:hAnsi="Arial" w:cs="Arial"/>
          <w:sz w:val="20"/>
          <w:szCs w:val="20"/>
        </w:rPr>
        <w:t xml:space="preserve">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[72 FR 32759, June 13, 2007, as amended at 74 FR 5090, Jan. 28, 2009; 77 FR 9462, Feb. 16, 2012]</w:t>
      </w:r>
    </w:p>
    <w:p w:rsidR="00147489" w:rsidRPr="00147489" w:rsidRDefault="00147489" w:rsidP="00147489">
      <w:pPr>
        <w:spacing w:before="200" w:after="100" w:afterAutospacing="1" w:line="240" w:lineRule="auto"/>
        <w:rPr>
          <w:rFonts w:ascii="Arial" w:eastAsia="Times New Roman" w:hAnsi="Arial" w:cs="Arial"/>
          <w:sz w:val="20"/>
          <w:szCs w:val="20"/>
        </w:rPr>
      </w:pPr>
      <w:hyperlink r:id="rId19" w:anchor="_top" w:history="1">
        <w:r w:rsidRPr="00147489">
          <w:rPr>
            <w:rFonts w:ascii="Arial" w:eastAsia="Times New Roman" w:hAnsi="Arial" w:cs="Arial"/>
            <w:noProof/>
            <w:color w:val="0000FF"/>
            <w:sz w:val="17"/>
            <w:szCs w:val="17"/>
          </w:rPr>
          <w:drawing>
            <wp:inline distT="0" distB="0" distL="0" distR="0">
              <wp:extent cx="152400" cy="152400"/>
              <wp:effectExtent l="0" t="0" r="0" b="0"/>
              <wp:docPr id="10" name="Picture 10"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489">
          <w:rPr>
            <w:rFonts w:ascii="Arial" w:eastAsia="Times New Roman" w:hAnsi="Arial" w:cs="Arial"/>
            <w:color w:val="0000FF"/>
            <w:sz w:val="17"/>
            <w:szCs w:val="17"/>
          </w:rPr>
          <w:t>Back to Top</w:t>
        </w:r>
      </w:hyperlink>
    </w:p>
    <w:p w:rsidR="00147489" w:rsidRPr="00147489" w:rsidRDefault="00147489" w:rsidP="00147489">
      <w:pPr>
        <w:spacing w:before="200" w:after="100" w:line="240" w:lineRule="auto"/>
        <w:outlineLvl w:val="1"/>
        <w:rPr>
          <w:rFonts w:ascii="Arial" w:eastAsia="Times New Roman" w:hAnsi="Arial" w:cs="Arial"/>
          <w:b/>
          <w:bCs/>
          <w:sz w:val="20"/>
          <w:szCs w:val="20"/>
        </w:rPr>
      </w:pPr>
      <w:bookmarkStart w:id="3" w:name="40:7.0.1.1.1.12.151.4"/>
      <w:bookmarkEnd w:id="3"/>
      <w:r w:rsidRPr="00147489">
        <w:rPr>
          <w:rFonts w:ascii="Arial" w:eastAsia="Times New Roman" w:hAnsi="Arial" w:cs="Arial"/>
          <w:b/>
          <w:bCs/>
          <w:sz w:val="20"/>
          <w:szCs w:val="20"/>
        </w:rPr>
        <w:t>§60.43c   Standard for particulate matter (PM).</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 or greater, shall cause to be discharged into the atmosphere from that affected facility any gases that contain PM in excess of the following emission limits: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(1) 22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(0.051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if the affected facility combusts only coal, or combusts coal with other fuels and has an annual capacity factor for the other fuels of 10 percent (0.10) or less.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(2) 43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(0.10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 or greater, shall cause to be discharged into the atmosphere from that affected facility any gases that contain PM in excess of the following emissions limits: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(1) 43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(0.10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if the affected facility has an annual capacity factor for wood greater than 30 percent (0.30); 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(2) 130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(0.30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(c) On and after the date on which the initial performance test is completed or required to be completed under §60.8, whichever date comes first, no owner or operator of an affected facility that combusts coal, wood, or oil and has a heat input capacity of 8.7 MW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/h)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 or less are exempt from the opacity standard specified in this paragraph (c).</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(d) The PM and opacity standards under this section apply at all times, except during periods of startup, shutdown, or malfunction.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 xml:space="preserve">(e)(1)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/h) or greater shall cause to be discharged into the atmosphere from that affected facility any gases that contain PM in excess of 13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(0.030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except as provided in paragraphs (e)(2), (e)(3), and (e)(4)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xml:space="preserve">) 22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(0.051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derived from the combustion of coal, oil, wood, a mixture of these fuels, or a mixture of these fuels with any other fuels;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0.2 percent of the combustion concentration (99.8 percent reduction) when combusting coal, oil, wood, a mixture of these fuels, or a mixture of these fuels with any other fuels.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/h) or greater shall cause to be discharged into the atmosphere from that affected facility any gases that contain PM in excess of 43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(0.10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(4)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emissions is not subject to the PM limit in this section.</w:t>
      </w:r>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[72 FR 32759, June 13, 2007, as amended at 74 FR 5091, Jan. 28, 2009; 77 FR 9462, Feb. 16, 2012]</w:t>
      </w:r>
    </w:p>
    <w:p w:rsidR="00147489" w:rsidRPr="00147489" w:rsidRDefault="00147489" w:rsidP="00147489">
      <w:pPr>
        <w:spacing w:before="200" w:after="100" w:afterAutospacing="1" w:line="240" w:lineRule="auto"/>
        <w:rPr>
          <w:rFonts w:ascii="Arial" w:eastAsia="Times New Roman" w:hAnsi="Arial" w:cs="Arial"/>
          <w:sz w:val="20"/>
          <w:szCs w:val="20"/>
        </w:rPr>
      </w:pPr>
      <w:hyperlink r:id="rId20" w:anchor="_top" w:history="1">
        <w:r w:rsidRPr="00147489">
          <w:rPr>
            <w:rFonts w:ascii="Arial" w:eastAsia="Times New Roman" w:hAnsi="Arial" w:cs="Arial"/>
            <w:noProof/>
            <w:color w:val="0000FF"/>
            <w:sz w:val="17"/>
            <w:szCs w:val="17"/>
          </w:rPr>
          <w:drawing>
            <wp:inline distT="0" distB="0" distL="0" distR="0">
              <wp:extent cx="152400" cy="152400"/>
              <wp:effectExtent l="0" t="0" r="0" b="0"/>
              <wp:docPr id="9" name="Picture 9"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489">
          <w:rPr>
            <w:rFonts w:ascii="Arial" w:eastAsia="Times New Roman" w:hAnsi="Arial" w:cs="Arial"/>
            <w:color w:val="0000FF"/>
            <w:sz w:val="17"/>
            <w:szCs w:val="17"/>
          </w:rPr>
          <w:t>Back to Top</w:t>
        </w:r>
      </w:hyperlink>
    </w:p>
    <w:p w:rsidR="00147489" w:rsidRPr="00147489" w:rsidRDefault="00147489" w:rsidP="00147489">
      <w:pPr>
        <w:spacing w:before="200" w:after="100" w:line="240" w:lineRule="auto"/>
        <w:outlineLvl w:val="1"/>
        <w:rPr>
          <w:rFonts w:ascii="Arial" w:eastAsia="Times New Roman" w:hAnsi="Arial" w:cs="Arial"/>
          <w:b/>
          <w:bCs/>
          <w:sz w:val="20"/>
          <w:szCs w:val="20"/>
        </w:rPr>
      </w:pPr>
      <w:bookmarkStart w:id="4" w:name="40:7.0.1.1.1.12.151.5"/>
      <w:bookmarkEnd w:id="4"/>
      <w:r w:rsidRPr="00147489">
        <w:rPr>
          <w:rFonts w:ascii="Arial" w:eastAsia="Times New Roman" w:hAnsi="Arial" w:cs="Arial"/>
          <w:b/>
          <w:bCs/>
          <w:sz w:val="20"/>
          <w:szCs w:val="20"/>
        </w:rPr>
        <w:t>§60.44c   Compliance and performance test methods and procedures for sulfur dioxide.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(b) The initial performance test required under §60.8 shall be conducted over 30 consecutive operating days of the steam generating unit. Compliance with the percent reduction requirements and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(c) After the initial performance test required under paragraph (b) of this section and §60.8, compliance with the percent reduction requirements and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limits under §60.42c is based on the average percent reduction and the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rates for 30 consecutive steam generating unit operating days. A separate performance test is completed at the end of each steam generating unit operating day, and a new 30-day average percent reduction and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are calculated to show compliance with the standard.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(d) If only coal, only oil, or a mixture of coal and oil is combusted in an affected facility, the procedures in Method 19 of appendix A of this part are used to determine the hourly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ho</w:t>
      </w:r>
      <w:proofErr w:type="spellEnd"/>
      <w:r w:rsidRPr="00147489">
        <w:rPr>
          <w:rFonts w:ascii="Arial" w:eastAsia="Times New Roman" w:hAnsi="Arial" w:cs="Arial"/>
          <w:sz w:val="20"/>
          <w:szCs w:val="20"/>
        </w:rPr>
        <w:t>) and the 30-day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ao</w:t>
      </w:r>
      <w:proofErr w:type="spellEnd"/>
      <w:r w:rsidRPr="00147489">
        <w:rPr>
          <w:rFonts w:ascii="Arial" w:eastAsia="Times New Roman" w:hAnsi="Arial" w:cs="Arial"/>
          <w:sz w:val="20"/>
          <w:szCs w:val="20"/>
        </w:rPr>
        <w:t xml:space="preserve">). The hourly averages used to compute the 30-day averages are obtained from the CEMS. Method 19 of appendix A of this part shall be used to calculate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ao</w:t>
      </w:r>
      <w:proofErr w:type="spellEnd"/>
      <w:r w:rsidRPr="00147489">
        <w:rPr>
          <w:rFonts w:ascii="Arial" w:eastAsia="Times New Roman" w:hAnsi="Arial" w:cs="Arial"/>
          <w:sz w:val="20"/>
          <w:szCs w:val="20"/>
        </w:rPr>
        <w:t xml:space="preserve"> when using daily fuel sampling or Method 6B of appendix 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(e) If coal, oil, or coal and oil are combusted with other fuels: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(1) An adjusted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ho</w:t>
      </w:r>
      <w:proofErr w:type="spellEnd"/>
      <w:r w:rsidRPr="00147489">
        <w:rPr>
          <w:rFonts w:ascii="Arial" w:eastAsia="Times New Roman" w:hAnsi="Arial" w:cs="Arial"/>
          <w:sz w:val="20"/>
          <w:szCs w:val="20"/>
        </w:rPr>
        <w:t xml:space="preserv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ho</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xml:space="preserve">) is used in Equation 19-19 of Method 19 of appendix A of this part to compute the adjusted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ao</w:t>
      </w:r>
      <w:proofErr w:type="spellEnd"/>
      <w:r w:rsidRPr="00147489">
        <w:rPr>
          <w:rFonts w:ascii="Arial" w:eastAsia="Times New Roman" w:hAnsi="Arial" w:cs="Arial"/>
          <w:sz w:val="20"/>
          <w:szCs w:val="20"/>
        </w:rPr>
        <w:t xml:space="preserv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ao</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xml:space="preserve">). The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ho</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xml:space="preserve"> is computed using the following formula:</w:t>
      </w:r>
    </w:p>
    <w:p w:rsidR="00147489" w:rsidRPr="00147489" w:rsidRDefault="00147489" w:rsidP="00147489">
      <w:pPr>
        <w:spacing w:after="0" w:line="240" w:lineRule="auto"/>
        <w:rPr>
          <w:rFonts w:ascii="Arial" w:eastAsia="Times New Roman" w:hAnsi="Arial" w:cs="Arial"/>
          <w:sz w:val="20"/>
          <w:szCs w:val="20"/>
        </w:rPr>
      </w:pPr>
      <w:r w:rsidRPr="00147489">
        <w:rPr>
          <w:rFonts w:ascii="Arial" w:eastAsia="Times New Roman" w:hAnsi="Arial" w:cs="Arial"/>
          <w:noProof/>
          <w:sz w:val="20"/>
          <w:szCs w:val="20"/>
        </w:rPr>
        <w:drawing>
          <wp:inline distT="0" distB="0" distL="0" distR="0">
            <wp:extent cx="1295400" cy="390525"/>
            <wp:effectExtent l="0" t="0" r="0" b="9525"/>
            <wp:docPr id="8" name="Picture 8" descr="eCFR graphic 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r13jn07.03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95400" cy="390525"/>
                    </a:xfrm>
                    <a:prstGeom prst="rect">
                      <a:avLst/>
                    </a:prstGeom>
                    <a:noFill/>
                    <a:ln>
                      <a:noFill/>
                    </a:ln>
                  </pic:spPr>
                </pic:pic>
              </a:graphicData>
            </a:graphic>
          </wp:inline>
        </w:drawing>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hyperlink r:id="rId22" w:history="1">
        <w:r w:rsidRPr="00147489">
          <w:rPr>
            <w:rFonts w:ascii="Arial" w:eastAsia="Times New Roman" w:hAnsi="Arial" w:cs="Arial"/>
            <w:color w:val="0000FF"/>
            <w:sz w:val="17"/>
            <w:szCs w:val="17"/>
          </w:rPr>
          <w:t>View or download PDF</w:t>
        </w:r>
      </w:hyperlink>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 xml:space="preserve">Where: </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ho</w:t>
      </w:r>
      <w:r w:rsidRPr="00147489">
        <w:rPr>
          <w:rFonts w:ascii="Arial" w:eastAsia="Times New Roman" w:hAnsi="Arial" w:cs="Arial"/>
          <w:sz w:val="18"/>
          <w:szCs w:val="18"/>
        </w:rPr>
        <w:t>o</w:t>
      </w:r>
      <w:proofErr w:type="spellEnd"/>
      <w:r w:rsidRPr="00147489">
        <w:rPr>
          <w:rFonts w:ascii="Arial" w:eastAsia="Times New Roman" w:hAnsi="Arial" w:cs="Arial"/>
          <w:sz w:val="18"/>
          <w:szCs w:val="18"/>
        </w:rPr>
        <w:t xml:space="preserve"> = Adjusted </w:t>
      </w: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ho</w:t>
      </w:r>
      <w:proofErr w:type="spellEnd"/>
      <w:r w:rsidRPr="00147489">
        <w:rPr>
          <w:rFonts w:ascii="Arial" w:eastAsia="Times New Roman" w:hAnsi="Arial" w:cs="Arial"/>
          <w:sz w:val="18"/>
          <w:szCs w:val="18"/>
        </w:rPr>
        <w:t xml:space="preserve">,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/J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ho</w:t>
      </w:r>
      <w:proofErr w:type="spellEnd"/>
      <w:r w:rsidRPr="00147489">
        <w:rPr>
          <w:rFonts w:ascii="Arial" w:eastAsia="Times New Roman" w:hAnsi="Arial" w:cs="Arial"/>
          <w:sz w:val="18"/>
          <w:szCs w:val="18"/>
        </w:rPr>
        <w:t xml:space="preserve"> = Hourly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emission rate,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/J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w</w:t>
      </w:r>
      <w:proofErr w:type="spellEnd"/>
      <w:r w:rsidRPr="00147489">
        <w:rPr>
          <w:rFonts w:ascii="Arial" w:eastAsia="Times New Roman" w:hAnsi="Arial" w:cs="Arial"/>
          <w:sz w:val="18"/>
          <w:szCs w:val="18"/>
        </w:rPr>
        <w:t xml:space="preserve"> =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concentration in fuels other than coal and oil combusted in the affected facility, as determined by fuel sampling and analysis procedures in Method 9 of appendix A of this part,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/J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 xml:space="preserve">). The value </w:t>
      </w:r>
      <w:proofErr w:type="spellStart"/>
      <w:proofErr w:type="gram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w</w:t>
      </w:r>
      <w:proofErr w:type="spellEnd"/>
      <w:proofErr w:type="gramEnd"/>
      <w:r w:rsidRPr="00147489">
        <w:rPr>
          <w:rFonts w:ascii="Arial" w:eastAsia="Times New Roman" w:hAnsi="Arial" w:cs="Arial"/>
          <w:sz w:val="18"/>
          <w:szCs w:val="18"/>
        </w:rPr>
        <w:t xml:space="preserve"> for each fuel lot is used for each hourly average during the time that the lot is being combusted. The owner or operator does not have to measure </w:t>
      </w:r>
      <w:proofErr w:type="spellStart"/>
      <w:proofErr w:type="gram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w</w:t>
      </w:r>
      <w:proofErr w:type="spellEnd"/>
      <w:proofErr w:type="gramEnd"/>
      <w:r w:rsidRPr="00147489">
        <w:rPr>
          <w:rFonts w:ascii="Arial" w:eastAsia="Times New Roman" w:hAnsi="Arial" w:cs="Arial"/>
          <w:sz w:val="18"/>
          <w:szCs w:val="18"/>
        </w:rPr>
        <w:t xml:space="preserve"> if the owner or operator elects to assume </w:t>
      </w: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w</w:t>
      </w:r>
      <w:proofErr w:type="spellEnd"/>
      <w:r w:rsidRPr="00147489">
        <w:rPr>
          <w:rFonts w:ascii="Arial" w:eastAsia="Times New Roman" w:hAnsi="Arial" w:cs="Arial"/>
          <w:sz w:val="18"/>
          <w:szCs w:val="18"/>
        </w:rPr>
        <w:t xml:space="preserve"> = 0.</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X</w:t>
      </w:r>
      <w:r w:rsidRPr="00147489">
        <w:rPr>
          <w:rFonts w:ascii="Arial" w:eastAsia="Times New Roman" w:hAnsi="Arial" w:cs="Arial"/>
          <w:sz w:val="13"/>
          <w:szCs w:val="13"/>
          <w:vertAlign w:val="subscript"/>
        </w:rPr>
        <w:t>k</w:t>
      </w:r>
      <w:proofErr w:type="spellEnd"/>
      <w:r w:rsidRPr="00147489">
        <w:rPr>
          <w:rFonts w:ascii="Arial" w:eastAsia="Times New Roman" w:hAnsi="Arial" w:cs="Arial"/>
          <w:sz w:val="18"/>
          <w:szCs w:val="18"/>
        </w:rPr>
        <w:t xml:space="preserve"> = Fraction of the total heat input from fuel combustion derived from coal and oil, as determined by applicable procedures in Method 19 of appendix 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(2) The owner or operator of an affected facility that qualifies under the provisions of §60.42c(c) or (d) (where percent reduction is not required) does not have to measure the parameters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w</w:t>
      </w:r>
      <w:proofErr w:type="spellEnd"/>
      <w:r w:rsidRPr="00147489">
        <w:rPr>
          <w:rFonts w:ascii="Arial" w:eastAsia="Times New Roman" w:hAnsi="Arial" w:cs="Arial"/>
          <w:sz w:val="20"/>
          <w:szCs w:val="20"/>
        </w:rPr>
        <w:t xml:space="preserve"> or </w:t>
      </w:r>
      <w:proofErr w:type="spellStart"/>
      <w:r w:rsidRPr="00147489">
        <w:rPr>
          <w:rFonts w:ascii="Arial" w:eastAsia="Times New Roman" w:hAnsi="Arial" w:cs="Arial"/>
          <w:sz w:val="20"/>
          <w:szCs w:val="20"/>
        </w:rPr>
        <w:t>X</w:t>
      </w:r>
      <w:r w:rsidRPr="00147489">
        <w:rPr>
          <w:rFonts w:ascii="Arial" w:eastAsia="Times New Roman" w:hAnsi="Arial" w:cs="Arial"/>
          <w:sz w:val="14"/>
          <w:szCs w:val="14"/>
          <w:vertAlign w:val="subscript"/>
        </w:rPr>
        <w:t>k</w:t>
      </w:r>
      <w:proofErr w:type="spellEnd"/>
      <w:r w:rsidRPr="00147489">
        <w:rPr>
          <w:rFonts w:ascii="Arial" w:eastAsia="Times New Roman" w:hAnsi="Arial" w:cs="Arial"/>
          <w:sz w:val="20"/>
          <w:szCs w:val="20"/>
        </w:rPr>
        <w:t xml:space="preserve"> if the owner or operator of the affected facility elects to measure emission rates of the coal or oil using the fuel sampling and analysis procedures under Method 19 of appendix 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(f) Affected facilities subject to the percent reduction requirements under §</w:t>
      </w:r>
      <w:proofErr w:type="gramStart"/>
      <w:r w:rsidRPr="00147489">
        <w:rPr>
          <w:rFonts w:ascii="Arial" w:eastAsia="Times New Roman" w:hAnsi="Arial" w:cs="Arial"/>
          <w:sz w:val="20"/>
          <w:szCs w:val="20"/>
        </w:rPr>
        <w:t>60.42c(</w:t>
      </w:r>
      <w:proofErr w:type="gramEnd"/>
      <w:r w:rsidRPr="00147489">
        <w:rPr>
          <w:rFonts w:ascii="Arial" w:eastAsia="Times New Roman" w:hAnsi="Arial" w:cs="Arial"/>
          <w:sz w:val="20"/>
          <w:szCs w:val="20"/>
        </w:rPr>
        <w:t>a) or (b) shall determine compliance with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limits under §60.42c pursuant to paragraphs (d) or (e) of this section, and shall determine compliance with the percent reduction requirements using the following procedures: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If only coal is combusted, the percent of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is computed using the following formula:</w:t>
      </w:r>
    </w:p>
    <w:p w:rsidR="00147489" w:rsidRPr="00147489" w:rsidRDefault="00147489" w:rsidP="00147489">
      <w:pPr>
        <w:spacing w:after="0" w:line="240" w:lineRule="auto"/>
        <w:rPr>
          <w:rFonts w:ascii="Arial" w:eastAsia="Times New Roman" w:hAnsi="Arial" w:cs="Arial"/>
          <w:sz w:val="20"/>
          <w:szCs w:val="20"/>
        </w:rPr>
      </w:pPr>
      <w:r w:rsidRPr="00147489">
        <w:rPr>
          <w:rFonts w:ascii="Arial" w:eastAsia="Times New Roman" w:hAnsi="Arial" w:cs="Arial"/>
          <w:noProof/>
          <w:sz w:val="20"/>
          <w:szCs w:val="20"/>
        </w:rPr>
        <w:drawing>
          <wp:inline distT="0" distB="0" distL="0" distR="0">
            <wp:extent cx="1752600" cy="419100"/>
            <wp:effectExtent l="0" t="0" r="0" b="0"/>
            <wp:docPr id="7" name="Picture 7" descr="eCFR graphic 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13jn07.03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hyperlink r:id="rId24" w:history="1">
        <w:r w:rsidRPr="00147489">
          <w:rPr>
            <w:rFonts w:ascii="Arial" w:eastAsia="Times New Roman" w:hAnsi="Arial" w:cs="Arial"/>
            <w:color w:val="0000FF"/>
            <w:sz w:val="17"/>
            <w:szCs w:val="17"/>
          </w:rPr>
          <w:t>View or download PDF</w:t>
        </w:r>
      </w:hyperlink>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 xml:space="preserve">Where: </w:t>
      </w:r>
    </w:p>
    <w:p w:rsidR="00147489" w:rsidRPr="00147489" w:rsidRDefault="00147489" w:rsidP="00147489">
      <w:pPr>
        <w:spacing w:before="200" w:after="100" w:line="240" w:lineRule="auto"/>
        <w:ind w:left="960" w:hanging="960"/>
        <w:rPr>
          <w:rFonts w:ascii="Arial" w:eastAsia="Times New Roman" w:hAnsi="Arial" w:cs="Arial"/>
          <w:sz w:val="18"/>
          <w:szCs w:val="18"/>
        </w:rPr>
      </w:pPr>
      <w:r w:rsidRPr="00147489">
        <w:rPr>
          <w:rFonts w:ascii="Arial" w:eastAsia="Times New Roman" w:hAnsi="Arial" w:cs="Arial"/>
          <w:sz w:val="18"/>
          <w:szCs w:val="18"/>
        </w:rPr>
        <w:t>%P</w:t>
      </w:r>
      <w:r w:rsidRPr="00147489">
        <w:rPr>
          <w:rFonts w:ascii="Arial" w:eastAsia="Times New Roman" w:hAnsi="Arial" w:cs="Arial"/>
          <w:sz w:val="13"/>
          <w:szCs w:val="13"/>
          <w:vertAlign w:val="subscript"/>
        </w:rPr>
        <w:t>s</w:t>
      </w:r>
      <w:r w:rsidRPr="00147489">
        <w:rPr>
          <w:rFonts w:ascii="Arial" w:eastAsia="Times New Roman" w:hAnsi="Arial" w:cs="Arial"/>
          <w:sz w:val="18"/>
          <w:szCs w:val="18"/>
        </w:rPr>
        <w:t xml:space="preserve"> = Potential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emission rate, in percent;</w:t>
      </w:r>
    </w:p>
    <w:p w:rsidR="00147489" w:rsidRPr="00147489" w:rsidRDefault="00147489" w:rsidP="00147489">
      <w:pPr>
        <w:spacing w:before="200" w:after="100" w:line="240" w:lineRule="auto"/>
        <w:ind w:left="960" w:hanging="960"/>
        <w:rPr>
          <w:rFonts w:ascii="Arial" w:eastAsia="Times New Roman" w:hAnsi="Arial" w:cs="Arial"/>
          <w:sz w:val="18"/>
          <w:szCs w:val="18"/>
        </w:rPr>
      </w:pPr>
      <w:r w:rsidRPr="00147489">
        <w:rPr>
          <w:rFonts w:ascii="Arial" w:eastAsia="Times New Roman" w:hAnsi="Arial" w:cs="Arial"/>
          <w:sz w:val="18"/>
          <w:szCs w:val="18"/>
        </w:rPr>
        <w:t>%</w:t>
      </w:r>
      <w:proofErr w:type="spellStart"/>
      <w:r w:rsidRPr="00147489">
        <w:rPr>
          <w:rFonts w:ascii="Arial" w:eastAsia="Times New Roman" w:hAnsi="Arial" w:cs="Arial"/>
          <w:sz w:val="18"/>
          <w:szCs w:val="18"/>
        </w:rPr>
        <w:t>R</w:t>
      </w:r>
      <w:r w:rsidRPr="00147489">
        <w:rPr>
          <w:rFonts w:ascii="Arial" w:eastAsia="Times New Roman" w:hAnsi="Arial" w:cs="Arial"/>
          <w:sz w:val="13"/>
          <w:szCs w:val="13"/>
          <w:vertAlign w:val="subscript"/>
        </w:rPr>
        <w:t>g</w:t>
      </w:r>
      <w:proofErr w:type="spellEnd"/>
      <w:r w:rsidRPr="00147489">
        <w:rPr>
          <w:rFonts w:ascii="Arial" w:eastAsia="Times New Roman" w:hAnsi="Arial" w:cs="Arial"/>
          <w:sz w:val="18"/>
          <w:szCs w:val="18"/>
        </w:rPr>
        <w:t xml:space="preserve"> =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removal efficiency of the control device as determined by Method 19 of appendix A of this part, in percent; and</w:t>
      </w:r>
    </w:p>
    <w:p w:rsidR="00147489" w:rsidRPr="00147489" w:rsidRDefault="00147489" w:rsidP="00147489">
      <w:pPr>
        <w:spacing w:before="200" w:after="100" w:line="240" w:lineRule="auto"/>
        <w:ind w:left="960" w:hanging="960"/>
        <w:rPr>
          <w:rFonts w:ascii="Arial" w:eastAsia="Times New Roman" w:hAnsi="Arial" w:cs="Arial"/>
          <w:sz w:val="18"/>
          <w:szCs w:val="18"/>
        </w:rPr>
      </w:pPr>
      <w:r w:rsidRPr="00147489">
        <w:rPr>
          <w:rFonts w:ascii="Arial" w:eastAsia="Times New Roman" w:hAnsi="Arial" w:cs="Arial"/>
          <w:sz w:val="18"/>
          <w:szCs w:val="18"/>
        </w:rPr>
        <w:t>%</w:t>
      </w:r>
      <w:proofErr w:type="spellStart"/>
      <w:proofErr w:type="gramStart"/>
      <w:r w:rsidRPr="00147489">
        <w:rPr>
          <w:rFonts w:ascii="Arial" w:eastAsia="Times New Roman" w:hAnsi="Arial" w:cs="Arial"/>
          <w:sz w:val="18"/>
          <w:szCs w:val="18"/>
        </w:rPr>
        <w:t>R</w:t>
      </w:r>
      <w:r w:rsidRPr="00147489">
        <w:rPr>
          <w:rFonts w:ascii="Arial" w:eastAsia="Times New Roman" w:hAnsi="Arial" w:cs="Arial"/>
          <w:sz w:val="13"/>
          <w:szCs w:val="13"/>
          <w:vertAlign w:val="subscript"/>
        </w:rPr>
        <w:t>f</w:t>
      </w:r>
      <w:proofErr w:type="spellEnd"/>
      <w:proofErr w:type="gramEnd"/>
      <w:r w:rsidRPr="00147489">
        <w:rPr>
          <w:rFonts w:ascii="Arial" w:eastAsia="Times New Roman" w:hAnsi="Arial" w:cs="Arial"/>
          <w:sz w:val="18"/>
          <w:szCs w:val="18"/>
        </w:rPr>
        <w:t xml:space="preserve"> =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removal efficiency of fuel pretreatment as determined by Method 19 of appendix A of this part, in percent.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If coal, oil, or coal and oil are combusted with other fuels, the same procedures required in paragraph (f</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1) of this section are used, except as provided for in the following:</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To compute the %P</w:t>
      </w:r>
      <w:r w:rsidRPr="00147489">
        <w:rPr>
          <w:rFonts w:ascii="Arial" w:eastAsia="Times New Roman" w:hAnsi="Arial" w:cs="Arial"/>
          <w:sz w:val="14"/>
          <w:szCs w:val="14"/>
          <w:vertAlign w:val="subscript"/>
        </w:rPr>
        <w:t>s</w:t>
      </w:r>
      <w:r w:rsidRPr="00147489">
        <w:rPr>
          <w:rFonts w:ascii="Arial" w:eastAsia="Times New Roman" w:hAnsi="Arial" w:cs="Arial"/>
          <w:sz w:val="20"/>
          <w:szCs w:val="20"/>
        </w:rPr>
        <w:t>, an adjusted %</w:t>
      </w:r>
      <w:proofErr w:type="spellStart"/>
      <w:r w:rsidRPr="00147489">
        <w:rPr>
          <w:rFonts w:ascii="Arial" w:eastAsia="Times New Roman" w:hAnsi="Arial" w:cs="Arial"/>
          <w:sz w:val="20"/>
          <w:szCs w:val="20"/>
        </w:rPr>
        <w:t>R</w:t>
      </w:r>
      <w:r w:rsidRPr="00147489">
        <w:rPr>
          <w:rFonts w:ascii="Arial" w:eastAsia="Times New Roman" w:hAnsi="Arial" w:cs="Arial"/>
          <w:sz w:val="14"/>
          <w:szCs w:val="14"/>
          <w:vertAlign w:val="subscript"/>
        </w:rPr>
        <w:t>g</w:t>
      </w:r>
      <w:proofErr w:type="spellEnd"/>
      <w:r w:rsidRPr="00147489">
        <w:rPr>
          <w:rFonts w:ascii="Arial" w:eastAsia="Times New Roman" w:hAnsi="Arial" w:cs="Arial"/>
          <w:sz w:val="20"/>
          <w:szCs w:val="20"/>
        </w:rPr>
        <w:t xml:space="preserve"> (%</w:t>
      </w:r>
      <w:proofErr w:type="spellStart"/>
      <w:r w:rsidRPr="00147489">
        <w:rPr>
          <w:rFonts w:ascii="Arial" w:eastAsia="Times New Roman" w:hAnsi="Arial" w:cs="Arial"/>
          <w:sz w:val="20"/>
          <w:szCs w:val="20"/>
        </w:rPr>
        <w:t>R</w:t>
      </w:r>
      <w:r w:rsidRPr="00147489">
        <w:rPr>
          <w:rFonts w:ascii="Arial" w:eastAsia="Times New Roman" w:hAnsi="Arial" w:cs="Arial"/>
          <w:sz w:val="14"/>
          <w:szCs w:val="14"/>
          <w:vertAlign w:val="subscript"/>
        </w:rPr>
        <w:t>g</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xml:space="preserve">) is computed from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ao</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xml:space="preserve"> from paragraph (e)(1) of this section and an adjusted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inlet rate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ai</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using the following formula:</w:t>
      </w:r>
    </w:p>
    <w:p w:rsidR="00147489" w:rsidRPr="00147489" w:rsidRDefault="00147489" w:rsidP="00147489">
      <w:pPr>
        <w:spacing w:after="0" w:line="240" w:lineRule="auto"/>
        <w:rPr>
          <w:rFonts w:ascii="Arial" w:eastAsia="Times New Roman" w:hAnsi="Arial" w:cs="Arial"/>
          <w:sz w:val="20"/>
          <w:szCs w:val="20"/>
        </w:rPr>
      </w:pPr>
      <w:r w:rsidRPr="00147489">
        <w:rPr>
          <w:rFonts w:ascii="Arial" w:eastAsia="Times New Roman" w:hAnsi="Arial" w:cs="Arial"/>
          <w:noProof/>
          <w:sz w:val="20"/>
          <w:szCs w:val="20"/>
        </w:rPr>
        <w:drawing>
          <wp:inline distT="0" distB="0" distL="0" distR="0">
            <wp:extent cx="1162050" cy="419100"/>
            <wp:effectExtent l="0" t="0" r="0" b="0"/>
            <wp:docPr id="6" name="Picture 6" descr="eCFR graphic 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r13jn07.03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62050" cy="419100"/>
                    </a:xfrm>
                    <a:prstGeom prst="rect">
                      <a:avLst/>
                    </a:prstGeom>
                    <a:noFill/>
                    <a:ln>
                      <a:noFill/>
                    </a:ln>
                  </pic:spPr>
                </pic:pic>
              </a:graphicData>
            </a:graphic>
          </wp:inline>
        </w:drawing>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hyperlink r:id="rId26" w:history="1">
        <w:r w:rsidRPr="00147489">
          <w:rPr>
            <w:rFonts w:ascii="Arial" w:eastAsia="Times New Roman" w:hAnsi="Arial" w:cs="Arial"/>
            <w:color w:val="0000FF"/>
            <w:sz w:val="17"/>
            <w:szCs w:val="17"/>
          </w:rPr>
          <w:t>View or download PDF</w:t>
        </w:r>
      </w:hyperlink>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Where:</w:t>
      </w:r>
    </w:p>
    <w:p w:rsidR="00147489" w:rsidRPr="00147489" w:rsidRDefault="00147489" w:rsidP="00147489">
      <w:pPr>
        <w:spacing w:before="200" w:after="100" w:line="240" w:lineRule="auto"/>
        <w:ind w:left="960" w:hanging="960"/>
        <w:rPr>
          <w:rFonts w:ascii="Arial" w:eastAsia="Times New Roman" w:hAnsi="Arial" w:cs="Arial"/>
          <w:sz w:val="18"/>
          <w:szCs w:val="18"/>
        </w:rPr>
      </w:pPr>
      <w:r w:rsidRPr="00147489">
        <w:rPr>
          <w:rFonts w:ascii="Arial" w:eastAsia="Times New Roman" w:hAnsi="Arial" w:cs="Arial"/>
          <w:sz w:val="18"/>
          <w:szCs w:val="18"/>
        </w:rPr>
        <w:t>%</w:t>
      </w:r>
      <w:proofErr w:type="spellStart"/>
      <w:r w:rsidRPr="00147489">
        <w:rPr>
          <w:rFonts w:ascii="Arial" w:eastAsia="Times New Roman" w:hAnsi="Arial" w:cs="Arial"/>
          <w:sz w:val="18"/>
          <w:szCs w:val="18"/>
        </w:rPr>
        <w:t>R</w:t>
      </w:r>
      <w:r w:rsidRPr="00147489">
        <w:rPr>
          <w:rFonts w:ascii="Arial" w:eastAsia="Times New Roman" w:hAnsi="Arial" w:cs="Arial"/>
          <w:sz w:val="13"/>
          <w:szCs w:val="13"/>
          <w:vertAlign w:val="subscript"/>
        </w:rPr>
        <w:t>g</w:t>
      </w:r>
      <w:r w:rsidRPr="00147489">
        <w:rPr>
          <w:rFonts w:ascii="Arial" w:eastAsia="Times New Roman" w:hAnsi="Arial" w:cs="Arial"/>
          <w:sz w:val="18"/>
          <w:szCs w:val="18"/>
        </w:rPr>
        <w:t>o</w:t>
      </w:r>
      <w:proofErr w:type="spellEnd"/>
      <w:r w:rsidRPr="00147489">
        <w:rPr>
          <w:rFonts w:ascii="Arial" w:eastAsia="Times New Roman" w:hAnsi="Arial" w:cs="Arial"/>
          <w:sz w:val="18"/>
          <w:szCs w:val="18"/>
        </w:rPr>
        <w:t xml:space="preserve"> = Adjusted %</w:t>
      </w:r>
      <w:proofErr w:type="spellStart"/>
      <w:r w:rsidRPr="00147489">
        <w:rPr>
          <w:rFonts w:ascii="Arial" w:eastAsia="Times New Roman" w:hAnsi="Arial" w:cs="Arial"/>
          <w:sz w:val="18"/>
          <w:szCs w:val="18"/>
        </w:rPr>
        <w:t>R</w:t>
      </w:r>
      <w:r w:rsidRPr="00147489">
        <w:rPr>
          <w:rFonts w:ascii="Arial" w:eastAsia="Times New Roman" w:hAnsi="Arial" w:cs="Arial"/>
          <w:sz w:val="13"/>
          <w:szCs w:val="13"/>
          <w:vertAlign w:val="subscript"/>
        </w:rPr>
        <w:t>g</w:t>
      </w:r>
      <w:proofErr w:type="spellEnd"/>
      <w:r w:rsidRPr="00147489">
        <w:rPr>
          <w:rFonts w:ascii="Arial" w:eastAsia="Times New Roman" w:hAnsi="Arial" w:cs="Arial"/>
          <w:sz w:val="18"/>
          <w:szCs w:val="18"/>
        </w:rPr>
        <w:t>, in percent;</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ao</w:t>
      </w:r>
      <w:r w:rsidRPr="00147489">
        <w:rPr>
          <w:rFonts w:ascii="Arial" w:eastAsia="Times New Roman" w:hAnsi="Arial" w:cs="Arial"/>
          <w:sz w:val="18"/>
          <w:szCs w:val="18"/>
        </w:rPr>
        <w:t>o</w:t>
      </w:r>
      <w:proofErr w:type="spellEnd"/>
      <w:r w:rsidRPr="00147489">
        <w:rPr>
          <w:rFonts w:ascii="Arial" w:eastAsia="Times New Roman" w:hAnsi="Arial" w:cs="Arial"/>
          <w:sz w:val="18"/>
          <w:szCs w:val="18"/>
        </w:rPr>
        <w:t xml:space="preserve"> = Adjusted </w:t>
      </w: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ao</w:t>
      </w:r>
      <w:proofErr w:type="spellEnd"/>
      <w:r w:rsidRPr="00147489">
        <w:rPr>
          <w:rFonts w:ascii="Arial" w:eastAsia="Times New Roman" w:hAnsi="Arial" w:cs="Arial"/>
          <w:sz w:val="18"/>
          <w:szCs w:val="18"/>
        </w:rPr>
        <w:t xml:space="preserve">,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/J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 and</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ai</w:t>
      </w:r>
      <w:r w:rsidRPr="00147489">
        <w:rPr>
          <w:rFonts w:ascii="Arial" w:eastAsia="Times New Roman" w:hAnsi="Arial" w:cs="Arial"/>
          <w:sz w:val="18"/>
          <w:szCs w:val="18"/>
        </w:rPr>
        <w:t>o</w:t>
      </w:r>
      <w:proofErr w:type="spellEnd"/>
      <w:r w:rsidRPr="00147489">
        <w:rPr>
          <w:rFonts w:ascii="Arial" w:eastAsia="Times New Roman" w:hAnsi="Arial" w:cs="Arial"/>
          <w:sz w:val="18"/>
          <w:szCs w:val="18"/>
        </w:rPr>
        <w:t xml:space="preserve"> = Adjusted average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inlet rate,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/J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(ii) To compute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ai</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an adjusted hourly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inlet rate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hi</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xml:space="preserve">) is used. The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hi</w:t>
      </w:r>
      <w:r w:rsidRPr="00147489">
        <w:rPr>
          <w:rFonts w:ascii="Arial" w:eastAsia="Times New Roman" w:hAnsi="Arial" w:cs="Arial"/>
          <w:sz w:val="20"/>
          <w:szCs w:val="20"/>
        </w:rPr>
        <w:t>o</w:t>
      </w:r>
      <w:proofErr w:type="spellEnd"/>
      <w:r w:rsidRPr="00147489">
        <w:rPr>
          <w:rFonts w:ascii="Arial" w:eastAsia="Times New Roman" w:hAnsi="Arial" w:cs="Arial"/>
          <w:sz w:val="20"/>
          <w:szCs w:val="20"/>
        </w:rPr>
        <w:t xml:space="preserve"> is computed using the following formula:</w:t>
      </w:r>
    </w:p>
    <w:p w:rsidR="00147489" w:rsidRPr="00147489" w:rsidRDefault="00147489" w:rsidP="00147489">
      <w:pPr>
        <w:spacing w:after="0" w:line="240" w:lineRule="auto"/>
        <w:rPr>
          <w:rFonts w:ascii="Arial" w:eastAsia="Times New Roman" w:hAnsi="Arial" w:cs="Arial"/>
          <w:sz w:val="20"/>
          <w:szCs w:val="20"/>
        </w:rPr>
      </w:pPr>
      <w:r w:rsidRPr="00147489">
        <w:rPr>
          <w:rFonts w:ascii="Arial" w:eastAsia="Times New Roman" w:hAnsi="Arial" w:cs="Arial"/>
          <w:noProof/>
          <w:sz w:val="20"/>
          <w:szCs w:val="20"/>
        </w:rPr>
        <w:drawing>
          <wp:inline distT="0" distB="0" distL="0" distR="0">
            <wp:extent cx="1266825" cy="390525"/>
            <wp:effectExtent l="0" t="0" r="9525" b="9525"/>
            <wp:docPr id="5" name="Picture 5" descr="eCFR graphic 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13jn07.036.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66825" cy="390525"/>
                    </a:xfrm>
                    <a:prstGeom prst="rect">
                      <a:avLst/>
                    </a:prstGeom>
                    <a:noFill/>
                    <a:ln>
                      <a:noFill/>
                    </a:ln>
                  </pic:spPr>
                </pic:pic>
              </a:graphicData>
            </a:graphic>
          </wp:inline>
        </w:drawing>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hyperlink r:id="rId28" w:history="1">
        <w:r w:rsidRPr="00147489">
          <w:rPr>
            <w:rFonts w:ascii="Arial" w:eastAsia="Times New Roman" w:hAnsi="Arial" w:cs="Arial"/>
            <w:color w:val="0000FF"/>
            <w:sz w:val="17"/>
            <w:szCs w:val="17"/>
          </w:rPr>
          <w:t>View or download PDF</w:t>
        </w:r>
      </w:hyperlink>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Where:</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hi</w:t>
      </w:r>
      <w:r w:rsidRPr="00147489">
        <w:rPr>
          <w:rFonts w:ascii="Arial" w:eastAsia="Times New Roman" w:hAnsi="Arial" w:cs="Arial"/>
          <w:sz w:val="18"/>
          <w:szCs w:val="18"/>
        </w:rPr>
        <w:t>o</w:t>
      </w:r>
      <w:proofErr w:type="spellEnd"/>
      <w:r w:rsidRPr="00147489">
        <w:rPr>
          <w:rFonts w:ascii="Arial" w:eastAsia="Times New Roman" w:hAnsi="Arial" w:cs="Arial"/>
          <w:sz w:val="18"/>
          <w:szCs w:val="18"/>
        </w:rPr>
        <w:t xml:space="preserve"> = Adjusted </w:t>
      </w: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hi</w:t>
      </w:r>
      <w:proofErr w:type="spellEnd"/>
      <w:r w:rsidRPr="00147489">
        <w:rPr>
          <w:rFonts w:ascii="Arial" w:eastAsia="Times New Roman" w:hAnsi="Arial" w:cs="Arial"/>
          <w:sz w:val="18"/>
          <w:szCs w:val="18"/>
        </w:rPr>
        <w:t xml:space="preserve">,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/J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hi</w:t>
      </w:r>
      <w:proofErr w:type="spellEnd"/>
      <w:r w:rsidRPr="00147489">
        <w:rPr>
          <w:rFonts w:ascii="Arial" w:eastAsia="Times New Roman" w:hAnsi="Arial" w:cs="Arial"/>
          <w:sz w:val="18"/>
          <w:szCs w:val="18"/>
        </w:rPr>
        <w:t xml:space="preserve"> = Hourly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inlet rate,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/J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w</w:t>
      </w:r>
      <w:proofErr w:type="spellEnd"/>
      <w:r w:rsidRPr="00147489">
        <w:rPr>
          <w:rFonts w:ascii="Arial" w:eastAsia="Times New Roman" w:hAnsi="Arial" w:cs="Arial"/>
          <w:sz w:val="18"/>
          <w:szCs w:val="18"/>
        </w:rPr>
        <w:t xml:space="preserve"> = SO</w:t>
      </w:r>
      <w:r w:rsidRPr="00147489">
        <w:rPr>
          <w:rFonts w:ascii="Arial" w:eastAsia="Times New Roman" w:hAnsi="Arial" w:cs="Arial"/>
          <w:sz w:val="13"/>
          <w:szCs w:val="13"/>
          <w:vertAlign w:val="subscript"/>
        </w:rPr>
        <w:t>2</w:t>
      </w:r>
      <w:r w:rsidRPr="00147489">
        <w:rPr>
          <w:rFonts w:ascii="Arial" w:eastAsia="Times New Roman" w:hAnsi="Arial" w:cs="Arial"/>
          <w:sz w:val="18"/>
          <w:szCs w:val="18"/>
        </w:rPr>
        <w:t xml:space="preserve"> concentration in fuels other than coal and oil combusted in the affected facility, as determined by fuel sampling and analysis procedures in Method 19 of appendix A of this part, </w:t>
      </w:r>
      <w:proofErr w:type="spellStart"/>
      <w:r w:rsidRPr="00147489">
        <w:rPr>
          <w:rFonts w:ascii="Arial" w:eastAsia="Times New Roman" w:hAnsi="Arial" w:cs="Arial"/>
          <w:sz w:val="18"/>
          <w:szCs w:val="18"/>
        </w:rPr>
        <w:t>ng</w:t>
      </w:r>
      <w:proofErr w:type="spellEnd"/>
      <w:r w:rsidRPr="00147489">
        <w:rPr>
          <w:rFonts w:ascii="Arial" w:eastAsia="Times New Roman" w:hAnsi="Arial" w:cs="Arial"/>
          <w:sz w:val="18"/>
          <w:szCs w:val="18"/>
        </w:rPr>
        <w:t>/J (</w:t>
      </w:r>
      <w:proofErr w:type="spellStart"/>
      <w:r w:rsidRPr="00147489">
        <w:rPr>
          <w:rFonts w:ascii="Arial" w:eastAsia="Times New Roman" w:hAnsi="Arial" w:cs="Arial"/>
          <w:sz w:val="18"/>
          <w:szCs w:val="18"/>
        </w:rPr>
        <w:t>lb</w:t>
      </w:r>
      <w:proofErr w:type="spellEnd"/>
      <w:r w:rsidRPr="00147489">
        <w:rPr>
          <w:rFonts w:ascii="Arial" w:eastAsia="Times New Roman" w:hAnsi="Arial" w:cs="Arial"/>
          <w:sz w:val="18"/>
          <w:szCs w:val="18"/>
        </w:rPr>
        <w:t>/</w:t>
      </w:r>
      <w:proofErr w:type="spellStart"/>
      <w:r w:rsidRPr="00147489">
        <w:rPr>
          <w:rFonts w:ascii="Arial" w:eastAsia="Times New Roman" w:hAnsi="Arial" w:cs="Arial"/>
          <w:sz w:val="18"/>
          <w:szCs w:val="18"/>
        </w:rPr>
        <w:t>MMBtu</w:t>
      </w:r>
      <w:proofErr w:type="spellEnd"/>
      <w:r w:rsidRPr="00147489">
        <w:rPr>
          <w:rFonts w:ascii="Arial" w:eastAsia="Times New Roman" w:hAnsi="Arial" w:cs="Arial"/>
          <w:sz w:val="18"/>
          <w:szCs w:val="18"/>
        </w:rPr>
        <w:t xml:space="preserve">). The value </w:t>
      </w:r>
      <w:proofErr w:type="spellStart"/>
      <w:proofErr w:type="gram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w</w:t>
      </w:r>
      <w:proofErr w:type="spellEnd"/>
      <w:proofErr w:type="gramEnd"/>
      <w:r w:rsidRPr="00147489">
        <w:rPr>
          <w:rFonts w:ascii="Arial" w:eastAsia="Times New Roman" w:hAnsi="Arial" w:cs="Arial"/>
          <w:sz w:val="18"/>
          <w:szCs w:val="18"/>
        </w:rPr>
        <w:t xml:space="preserve"> for each fuel lot is used for each hourly average during the time that the lot is being combusted. The owner or operator does not have to measure </w:t>
      </w:r>
      <w:proofErr w:type="spellStart"/>
      <w:proofErr w:type="gram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w</w:t>
      </w:r>
      <w:proofErr w:type="spellEnd"/>
      <w:proofErr w:type="gramEnd"/>
      <w:r w:rsidRPr="00147489">
        <w:rPr>
          <w:rFonts w:ascii="Arial" w:eastAsia="Times New Roman" w:hAnsi="Arial" w:cs="Arial"/>
          <w:sz w:val="18"/>
          <w:szCs w:val="18"/>
        </w:rPr>
        <w:t xml:space="preserve"> if the owner or operator elects to assume </w:t>
      </w:r>
      <w:proofErr w:type="spellStart"/>
      <w:r w:rsidRPr="00147489">
        <w:rPr>
          <w:rFonts w:ascii="Arial" w:eastAsia="Times New Roman" w:hAnsi="Arial" w:cs="Arial"/>
          <w:sz w:val="18"/>
          <w:szCs w:val="18"/>
        </w:rPr>
        <w:t>E</w:t>
      </w:r>
      <w:r w:rsidRPr="00147489">
        <w:rPr>
          <w:rFonts w:ascii="Arial" w:eastAsia="Times New Roman" w:hAnsi="Arial" w:cs="Arial"/>
          <w:sz w:val="13"/>
          <w:szCs w:val="13"/>
          <w:vertAlign w:val="subscript"/>
        </w:rPr>
        <w:t>w</w:t>
      </w:r>
      <w:proofErr w:type="spellEnd"/>
      <w:r w:rsidRPr="00147489">
        <w:rPr>
          <w:rFonts w:ascii="Arial" w:eastAsia="Times New Roman" w:hAnsi="Arial" w:cs="Arial"/>
          <w:sz w:val="18"/>
          <w:szCs w:val="18"/>
        </w:rPr>
        <w:t xml:space="preserve"> = 0; and</w:t>
      </w:r>
    </w:p>
    <w:p w:rsidR="00147489" w:rsidRPr="00147489" w:rsidRDefault="00147489" w:rsidP="00147489">
      <w:pPr>
        <w:spacing w:before="200" w:after="100" w:line="240" w:lineRule="auto"/>
        <w:ind w:left="960" w:hanging="960"/>
        <w:rPr>
          <w:rFonts w:ascii="Arial" w:eastAsia="Times New Roman" w:hAnsi="Arial" w:cs="Arial"/>
          <w:sz w:val="18"/>
          <w:szCs w:val="18"/>
        </w:rPr>
      </w:pPr>
      <w:proofErr w:type="spellStart"/>
      <w:r w:rsidRPr="00147489">
        <w:rPr>
          <w:rFonts w:ascii="Arial" w:eastAsia="Times New Roman" w:hAnsi="Arial" w:cs="Arial"/>
          <w:sz w:val="18"/>
          <w:szCs w:val="18"/>
        </w:rPr>
        <w:t>X</w:t>
      </w:r>
      <w:r w:rsidRPr="00147489">
        <w:rPr>
          <w:rFonts w:ascii="Arial" w:eastAsia="Times New Roman" w:hAnsi="Arial" w:cs="Arial"/>
          <w:sz w:val="13"/>
          <w:szCs w:val="13"/>
          <w:vertAlign w:val="subscript"/>
        </w:rPr>
        <w:t>k</w:t>
      </w:r>
      <w:proofErr w:type="spellEnd"/>
      <w:r w:rsidRPr="00147489">
        <w:rPr>
          <w:rFonts w:ascii="Arial" w:eastAsia="Times New Roman" w:hAnsi="Arial" w:cs="Arial"/>
          <w:sz w:val="18"/>
          <w:szCs w:val="18"/>
        </w:rPr>
        <w:t xml:space="preserve"> = Fraction of the total heat input from fuel combustion derived from coal and oil, as determined by applicable procedures in Method 19 of appendix 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(g) For oil-fired affected facilities where the owner or operator seeks to demonstrate compliance with the fuel oil sulfur limits under §60.42c based on shipment fuel sampling, the initial performance test shall </w:t>
      </w:r>
      <w:r w:rsidRPr="00147489">
        <w:rPr>
          <w:rFonts w:ascii="Arial" w:eastAsia="Times New Roman" w:hAnsi="Arial" w:cs="Arial"/>
          <w:sz w:val="20"/>
          <w:szCs w:val="20"/>
        </w:rPr>
        <w:lastRenderedPageBreak/>
        <w:t>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w:t>
      </w:r>
      <w:proofErr w:type="gramStart"/>
      <w:r w:rsidRPr="00147489">
        <w:rPr>
          <w:rFonts w:ascii="Arial" w:eastAsia="Times New Roman" w:hAnsi="Arial" w:cs="Arial"/>
          <w:sz w:val="20"/>
          <w:szCs w:val="20"/>
        </w:rPr>
        <w:t>60.46c(</w:t>
      </w:r>
      <w:proofErr w:type="gramEnd"/>
      <w:r w:rsidRPr="00147489">
        <w:rPr>
          <w:rFonts w:ascii="Arial" w:eastAsia="Times New Roman" w:hAnsi="Arial" w:cs="Arial"/>
          <w:sz w:val="20"/>
          <w:szCs w:val="20"/>
        </w:rPr>
        <w:t>d)(2).</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(h) For affected facilities subject to §60.42c(h)(1), (2), or (3) where the owner or operator seeks to demonstrate compliance with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standards based on fuel supplier certification, the performance test shall consist of the certification from the fuel supplier, as described in §60.48c(f), as applicable.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owner or operator of an affected facility seeking to demonstrate compliance with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(j) The owner or operator of an affected facility shall use all valid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emissions data in calculating %P</w:t>
      </w:r>
      <w:r w:rsidRPr="00147489">
        <w:rPr>
          <w:rFonts w:ascii="Arial" w:eastAsia="Times New Roman" w:hAnsi="Arial" w:cs="Arial"/>
          <w:sz w:val="14"/>
          <w:szCs w:val="14"/>
          <w:vertAlign w:val="subscript"/>
        </w:rPr>
        <w:t>s</w:t>
      </w:r>
      <w:r w:rsidRPr="00147489">
        <w:rPr>
          <w:rFonts w:ascii="Arial" w:eastAsia="Times New Roman" w:hAnsi="Arial" w:cs="Arial"/>
          <w:sz w:val="20"/>
          <w:szCs w:val="20"/>
        </w:rPr>
        <w:t xml:space="preserve"> and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ho</w:t>
      </w:r>
      <w:proofErr w:type="spellEnd"/>
      <w:r w:rsidRPr="00147489">
        <w:rPr>
          <w:rFonts w:ascii="Arial" w:eastAsia="Times New Roman" w:hAnsi="Arial" w:cs="Arial"/>
          <w:sz w:val="20"/>
          <w:szCs w:val="20"/>
        </w:rPr>
        <w:t xml:space="preserve"> 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147489">
        <w:rPr>
          <w:rFonts w:ascii="Arial" w:eastAsia="Times New Roman" w:hAnsi="Arial" w:cs="Arial"/>
          <w:sz w:val="14"/>
          <w:szCs w:val="14"/>
          <w:vertAlign w:val="subscript"/>
        </w:rPr>
        <w:t>s</w:t>
      </w:r>
      <w:r w:rsidRPr="00147489">
        <w:rPr>
          <w:rFonts w:ascii="Arial" w:eastAsia="Times New Roman" w:hAnsi="Arial" w:cs="Arial"/>
          <w:sz w:val="20"/>
          <w:szCs w:val="20"/>
        </w:rPr>
        <w:t xml:space="preserve"> or </w:t>
      </w:r>
      <w:proofErr w:type="spellStart"/>
      <w:r w:rsidRPr="00147489">
        <w:rPr>
          <w:rFonts w:ascii="Arial" w:eastAsia="Times New Roman" w:hAnsi="Arial" w:cs="Arial"/>
          <w:sz w:val="20"/>
          <w:szCs w:val="20"/>
        </w:rPr>
        <w:t>E</w:t>
      </w:r>
      <w:r w:rsidRPr="00147489">
        <w:rPr>
          <w:rFonts w:ascii="Arial" w:eastAsia="Times New Roman" w:hAnsi="Arial" w:cs="Arial"/>
          <w:sz w:val="14"/>
          <w:szCs w:val="14"/>
          <w:vertAlign w:val="subscript"/>
        </w:rPr>
        <w:t>ho</w:t>
      </w:r>
      <w:proofErr w:type="spellEnd"/>
      <w:r w:rsidRPr="00147489">
        <w:rPr>
          <w:rFonts w:ascii="Arial" w:eastAsia="Times New Roman" w:hAnsi="Arial" w:cs="Arial"/>
          <w:sz w:val="20"/>
          <w:szCs w:val="20"/>
        </w:rPr>
        <w:t xml:space="preserve"> pursuant to paragraphs (d), (e), or (f) of this section, as applicable.</w:t>
      </w:r>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[72 FR 32759, June 13, 2007, as amended at 74 FR 5091, Jan. 28, 2009]</w:t>
      </w:r>
    </w:p>
    <w:p w:rsidR="00147489" w:rsidRPr="00147489" w:rsidRDefault="00147489" w:rsidP="00147489">
      <w:pPr>
        <w:spacing w:before="200" w:after="100" w:afterAutospacing="1" w:line="240" w:lineRule="auto"/>
        <w:rPr>
          <w:rFonts w:ascii="Arial" w:eastAsia="Times New Roman" w:hAnsi="Arial" w:cs="Arial"/>
          <w:sz w:val="20"/>
          <w:szCs w:val="20"/>
        </w:rPr>
      </w:pPr>
      <w:hyperlink r:id="rId29" w:anchor="_top" w:history="1">
        <w:r w:rsidRPr="00147489">
          <w:rPr>
            <w:rFonts w:ascii="Arial" w:eastAsia="Times New Roman" w:hAnsi="Arial" w:cs="Arial"/>
            <w:noProof/>
            <w:color w:val="0000FF"/>
            <w:sz w:val="17"/>
            <w:szCs w:val="17"/>
          </w:rPr>
          <w:drawing>
            <wp:inline distT="0" distB="0" distL="0" distR="0">
              <wp:extent cx="152400" cy="152400"/>
              <wp:effectExtent l="0" t="0" r="0" b="0"/>
              <wp:docPr id="4" name="Picture 4"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489">
          <w:rPr>
            <w:rFonts w:ascii="Arial" w:eastAsia="Times New Roman" w:hAnsi="Arial" w:cs="Arial"/>
            <w:color w:val="0000FF"/>
            <w:sz w:val="17"/>
            <w:szCs w:val="17"/>
          </w:rPr>
          <w:t>Back to Top</w:t>
        </w:r>
      </w:hyperlink>
    </w:p>
    <w:p w:rsidR="00147489" w:rsidRPr="00147489" w:rsidRDefault="00147489" w:rsidP="00147489">
      <w:pPr>
        <w:spacing w:before="200" w:after="100" w:line="240" w:lineRule="auto"/>
        <w:outlineLvl w:val="1"/>
        <w:rPr>
          <w:rFonts w:ascii="Arial" w:eastAsia="Times New Roman" w:hAnsi="Arial" w:cs="Arial"/>
          <w:b/>
          <w:bCs/>
          <w:sz w:val="20"/>
          <w:szCs w:val="20"/>
        </w:rPr>
      </w:pPr>
      <w:bookmarkStart w:id="5" w:name="40:7.0.1.1.1.12.151.6"/>
      <w:bookmarkEnd w:id="5"/>
      <w:r w:rsidRPr="00147489">
        <w:rPr>
          <w:rFonts w:ascii="Arial" w:eastAsia="Times New Roman" w:hAnsi="Arial" w:cs="Arial"/>
          <w:b/>
          <w:bCs/>
          <w:sz w:val="20"/>
          <w:szCs w:val="20"/>
        </w:rPr>
        <w:t>§60.45c   Compliance and performance test methods and procedures for particulate matter.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Method 1 of appendix A of this part shall be used to select the sampling site and the number of traverse sampling points.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Method 3A or 3B of appendix A-2 of this part shall be used for gas analysis when applying Method 5 or 5B of appendix A-3 of this part or 17 of appendix A-6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Method 5, 5B, or 17 of appendix A of this part shall be used to measure the concentration of PM as follows: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Method 5 of appendix A of this part may be used only at affected facilities without wet scrubber systems.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(iii) Method 5B of appendix A of this part may be used in conjunction with a wet scrubber system.</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(4) The sampling time for each run shall be at least 120 minutes and the minimum sampling volume shall be 1.7 dry standard cubic meters (</w:t>
      </w:r>
      <w:proofErr w:type="spellStart"/>
      <w:r w:rsidRPr="00147489">
        <w:rPr>
          <w:rFonts w:ascii="Arial" w:eastAsia="Times New Roman" w:hAnsi="Arial" w:cs="Arial"/>
          <w:sz w:val="20"/>
          <w:szCs w:val="20"/>
        </w:rPr>
        <w:t>dscm</w:t>
      </w:r>
      <w:proofErr w:type="spellEnd"/>
      <w:r w:rsidRPr="00147489">
        <w:rPr>
          <w:rFonts w:ascii="Arial" w:eastAsia="Times New Roman" w:hAnsi="Arial" w:cs="Arial"/>
          <w:sz w:val="20"/>
          <w:szCs w:val="20"/>
        </w:rPr>
        <w:t>) [60 dry standard cubic feet (</w:t>
      </w:r>
      <w:proofErr w:type="spellStart"/>
      <w:r w:rsidRPr="00147489">
        <w:rPr>
          <w:rFonts w:ascii="Arial" w:eastAsia="Times New Roman" w:hAnsi="Arial" w:cs="Arial"/>
          <w:sz w:val="20"/>
          <w:szCs w:val="20"/>
        </w:rPr>
        <w:t>dscf</w:t>
      </w:r>
      <w:proofErr w:type="spellEnd"/>
      <w:r w:rsidRPr="00147489">
        <w:rPr>
          <w:rFonts w:ascii="Arial" w:eastAsia="Times New Roman" w:hAnsi="Arial" w:cs="Arial"/>
          <w:sz w:val="20"/>
          <w:szCs w:val="20"/>
        </w:rPr>
        <w:t>)] except that smaller sampling times or volumes may be approved by the Administrator when necessitated by process variables or other factors.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(5) For Method 5 or 5B of appendix A of this part, the temperature of the sample gas in the probe and filter holder shall be monitored and maintained at 160 ±14 °C (320±25 °F).</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(6) For determination of PM emissions, an oxygen (O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or carbon dioxide (CO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measurement shall be obtained simultaneously with each run of Method 5, 5B, or 17 of appendix A of this part by traversing the duct at the same sampling location.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(7) For each run using Method 5, 5B, or 17 of appendix A of this part, the emission rates expressed in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/J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shall be determined using:</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or CO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measurements and PM measurements obtained under this section, (ii) The dry basis F factor,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The dry basis emission rate calculation procedure contained in Method 19 of appendix 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(8) Method 9 of appendix A-4 of this part shall be used for determining the opacity of stack emissions.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1) through (c)(14)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Notify the Administrator 1 month before starting use of the system.</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Notify the Administrator 1 month before stopping use of the system.</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The monitor shall be installed, evaluated, and operated in accordance with §60.13 of subpart 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(4) The initial performance evaluation shall be completed no later than 180 days after the date of initial startup of the affected facility, as specified under §60.8 of subpart A of this part or within 180 days </w:t>
      </w:r>
      <w:r w:rsidRPr="00147489">
        <w:rPr>
          <w:rFonts w:ascii="Arial" w:eastAsia="Times New Roman" w:hAnsi="Arial" w:cs="Arial"/>
          <w:sz w:val="20"/>
          <w:szCs w:val="20"/>
        </w:rPr>
        <w:lastRenderedPageBreak/>
        <w:t>of notification to the Administrator of use of CEMS if the owner or operator was previously determining compliance by Method 5, 5B, or 17 of appendix A of this part performance tests, whichever is later.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(6) Compliance with the PM emission limit shall be determined based on the 24-hour daily (block) average of the hourly arithmetic average emission concentrations using CEMS outlet data.</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(7) At a minimum, valid CEMS hourly averages shall be obtained as specified in paragraph (c</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7)(</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of this section for 75 percent of the total operating hours per 30-day rolling average.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At least two data points per hour shall be used to calculate each 1-hour arithmetic average.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[Reserved]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(8) The 1-hour arithmetic averages required under paragraph (c)(7) of this section shall be expressed in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or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 heat input and shall be used to calculate the boiler operating day daily arithmetic average emission concentrations. The 1-hour arithmetic averages shall be calculated using the data points required under §60.13(e</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2) of subpart 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(9) All valid CEMS data shall be used in calculating average emission concentrations even if the minimum CEMS data requirements of paragraph (c</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7) of this section are not met.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(10) The CEMS shall be operated according to Performance Specification 11 in appendix B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(11) During the correlation testing runs of the CEMS required by Performance Specification 11 in appendix B of this part, PM and 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(or CO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data shall be collected concurrently (or within a 30- to 60-minute period) by both the continuous emission monitors and performance tests conducted using the following test methods.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For PM, Method 5 or 5B of appendix A-3 of this part or Method 17 of appendix A-6 of this part shall be used;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For O2 (or CO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Method 3A or 3B of appendix A-2 of this part, as applicable shall be used.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(14) As of January 1, 2012, and within 90 days after the date of completing each performance test, as defined in §60.8, conducted to demonstrate compliance with this subpart, you must submit relative accuracy test audit (</w:t>
      </w:r>
      <w:r w:rsidRPr="00147489">
        <w:rPr>
          <w:rFonts w:ascii="Arial" w:eastAsia="Times New Roman" w:hAnsi="Arial" w:cs="Arial"/>
          <w:i/>
          <w:iCs/>
          <w:sz w:val="20"/>
          <w:szCs w:val="20"/>
        </w:rPr>
        <w:t>i.e.,</w:t>
      </w:r>
      <w:r w:rsidRPr="00147489">
        <w:rPr>
          <w:rFonts w:ascii="Arial" w:eastAsia="Times New Roman" w:hAnsi="Arial" w:cs="Arial"/>
          <w:sz w:val="20"/>
          <w:szCs w:val="20"/>
        </w:rPr>
        <w:t xml:space="preserve"> reference method) data and performance test (</w:t>
      </w:r>
      <w:r w:rsidRPr="00147489">
        <w:rPr>
          <w:rFonts w:ascii="Arial" w:eastAsia="Times New Roman" w:hAnsi="Arial" w:cs="Arial"/>
          <w:i/>
          <w:iCs/>
          <w:sz w:val="20"/>
          <w:szCs w:val="20"/>
        </w:rPr>
        <w:t>i.e.,</w:t>
      </w:r>
      <w:r w:rsidRPr="00147489">
        <w:rPr>
          <w:rFonts w:ascii="Arial" w:eastAsia="Times New Roman" w:hAnsi="Arial" w:cs="Arial"/>
          <w:sz w:val="20"/>
          <w:szCs w:val="20"/>
        </w:rPr>
        <w:t xml:space="preserve"> compliance test) data, except </w:t>
      </w:r>
      <w:r w:rsidRPr="00147489">
        <w:rPr>
          <w:rFonts w:ascii="Arial" w:eastAsia="Times New Roman" w:hAnsi="Arial" w:cs="Arial"/>
          <w:sz w:val="20"/>
          <w:szCs w:val="20"/>
        </w:rPr>
        <w:lastRenderedPageBreak/>
        <w:t xml:space="preserve">opacity data, electronically to EPA's Central Data Exchange (CDX) by using the Electronic Reporting Tool (ERT) (see </w:t>
      </w:r>
      <w:r w:rsidRPr="00147489">
        <w:rPr>
          <w:rFonts w:ascii="Arial" w:eastAsia="Times New Roman" w:hAnsi="Arial" w:cs="Arial"/>
          <w:i/>
          <w:iCs/>
          <w:sz w:val="20"/>
          <w:szCs w:val="20"/>
        </w:rPr>
        <w:t>http://www.epa.gov/ttn/chief/ert/ert tool.html/</w:t>
      </w:r>
      <w:r w:rsidRPr="00147489">
        <w:rPr>
          <w:rFonts w:ascii="Arial" w:eastAsia="Times New Roman" w:hAnsi="Arial" w:cs="Arial"/>
          <w:sz w:val="20"/>
          <w:szCs w:val="20"/>
        </w:rPr>
        <w:t xml:space="preserve">) or other compatible electronic spreadsheet. Only data collected using test methods compatible with ERT are subject to this requirement to be submitted electronically into EPA's </w:t>
      </w:r>
      <w:proofErr w:type="spellStart"/>
      <w:r w:rsidRPr="00147489">
        <w:rPr>
          <w:rFonts w:ascii="Arial" w:eastAsia="Times New Roman" w:hAnsi="Arial" w:cs="Arial"/>
          <w:sz w:val="20"/>
          <w:szCs w:val="20"/>
        </w:rPr>
        <w:t>WebFIRE</w:t>
      </w:r>
      <w:proofErr w:type="spellEnd"/>
      <w:r w:rsidRPr="00147489">
        <w:rPr>
          <w:rFonts w:ascii="Arial" w:eastAsia="Times New Roman" w:hAnsi="Arial" w:cs="Arial"/>
          <w:sz w:val="20"/>
          <w:szCs w:val="20"/>
        </w:rPr>
        <w:t xml:space="preserve"> database.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(d) The owner or operator of an affected facility seeking to demonstrate compliance under §</w:t>
      </w:r>
      <w:proofErr w:type="gramStart"/>
      <w:r w:rsidRPr="00147489">
        <w:rPr>
          <w:rFonts w:ascii="Arial" w:eastAsia="Times New Roman" w:hAnsi="Arial" w:cs="Arial"/>
          <w:sz w:val="20"/>
          <w:szCs w:val="20"/>
        </w:rPr>
        <w:t>60.43c(</w:t>
      </w:r>
      <w:proofErr w:type="gramEnd"/>
      <w:r w:rsidRPr="00147489">
        <w:rPr>
          <w:rFonts w:ascii="Arial" w:eastAsia="Times New Roman" w:hAnsi="Arial" w:cs="Arial"/>
          <w:sz w:val="20"/>
          <w:szCs w:val="20"/>
        </w:rPr>
        <w:t xml:space="preserve">e)(4) shall follow the applicable procedures under §60.48c(f). For residual oil-fired affected facilities, fuel supplier certifications are only allowed for facilities with heat input capacities between 2.9 and 8.7 MW (10 to 30 </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/h).</w:t>
      </w:r>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[72 FR 32759, June 13, 2007, as amended at 74 FR 5091, Jan. 28, 2009; 76 FR 3523, Jan. 20, 2011; 77 FR 9463, Feb. 16, 2012]</w:t>
      </w:r>
    </w:p>
    <w:p w:rsidR="00147489" w:rsidRPr="00147489" w:rsidRDefault="00147489" w:rsidP="00147489">
      <w:pPr>
        <w:spacing w:before="200" w:after="100" w:afterAutospacing="1" w:line="240" w:lineRule="auto"/>
        <w:rPr>
          <w:rFonts w:ascii="Arial" w:eastAsia="Times New Roman" w:hAnsi="Arial" w:cs="Arial"/>
          <w:sz w:val="20"/>
          <w:szCs w:val="20"/>
        </w:rPr>
      </w:pPr>
      <w:hyperlink r:id="rId30" w:anchor="_top" w:history="1">
        <w:r w:rsidRPr="00147489">
          <w:rPr>
            <w:rFonts w:ascii="Arial" w:eastAsia="Times New Roman" w:hAnsi="Arial" w:cs="Arial"/>
            <w:noProof/>
            <w:color w:val="0000FF"/>
            <w:sz w:val="17"/>
            <w:szCs w:val="17"/>
          </w:rPr>
          <w:drawing>
            <wp:inline distT="0" distB="0" distL="0" distR="0">
              <wp:extent cx="152400" cy="152400"/>
              <wp:effectExtent l="0" t="0" r="0" b="0"/>
              <wp:docPr id="3" name="Picture 3"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489">
          <w:rPr>
            <w:rFonts w:ascii="Arial" w:eastAsia="Times New Roman" w:hAnsi="Arial" w:cs="Arial"/>
            <w:color w:val="0000FF"/>
            <w:sz w:val="17"/>
            <w:szCs w:val="17"/>
          </w:rPr>
          <w:t>Back to Top</w:t>
        </w:r>
      </w:hyperlink>
    </w:p>
    <w:p w:rsidR="00147489" w:rsidRPr="00147489" w:rsidRDefault="00147489" w:rsidP="00147489">
      <w:pPr>
        <w:spacing w:before="200" w:after="100" w:line="240" w:lineRule="auto"/>
        <w:outlineLvl w:val="1"/>
        <w:rPr>
          <w:rFonts w:ascii="Arial" w:eastAsia="Times New Roman" w:hAnsi="Arial" w:cs="Arial"/>
          <w:b/>
          <w:bCs/>
          <w:sz w:val="20"/>
          <w:szCs w:val="20"/>
        </w:rPr>
      </w:pPr>
      <w:bookmarkStart w:id="6" w:name="40:7.0.1.1.1.12.151.7"/>
      <w:bookmarkEnd w:id="6"/>
      <w:r w:rsidRPr="00147489">
        <w:rPr>
          <w:rFonts w:ascii="Arial" w:eastAsia="Times New Roman" w:hAnsi="Arial" w:cs="Arial"/>
          <w:b/>
          <w:bCs/>
          <w:sz w:val="20"/>
          <w:szCs w:val="20"/>
        </w:rPr>
        <w:t>§60.46c   Emission monitoring for sulfur dioxide.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(a) Except as provided in paragraphs (d) and (e) of this section, the owner or operator of an affected facility subject to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limits under §60.42c shall install, calibrate, maintain, and operate a CEMS for measuring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concentrations and either 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or CO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concentrations at the outlet of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(or the outlet of the steam generating unit if no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is used), and shall record the output of the system. The owner or operator of an affected facility subject to the percent reduction requirements under §60.42c shall measure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concentrations and either 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or CO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concentrations at both the inlet and outlet of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(b) The 1-hour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rates measured by a CEMS shall be expressed in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or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 heat input and shall be used to calculate the average emission rates under §60.42c. Each 1-hour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must be based on at least 30 minutes of operation, and shall be calculated using the data points required under §60.13(h)(2). Hourly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rates are not calculated if the affected facility is operated less than 30 minutes in a 1-hour period and are not counted toward determination of a steam generating unit operating day.</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(c) The procedures under §60.13 shall be followed for installation, evaluation, and operation of the CEMS.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All CEMS shall be operated in accordance with the applicable procedures under Performance Specifications 1, 2, and 3 of appendix B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Quarterly accuracy determinations and daily calibration drift tests shall be performed in accordance with Procedure 1 of appendix F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For affected facilities subject to the percent reduction requirements under §60.42c, the span value of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CEMS at the inlet to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shall be 125 percent of the maximum estimated hourly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of the fuel combusted, and the span value of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CEMS at the outlet from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shall be 50 percent of the maximum estimated hourly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of the fuel combusted.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(4) For affected facilities that are not subject to the percent reduction requirements of §60.42c, the span value of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CEMS at the outlet from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(or outlet of the steam generating unit if no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is used) shall be 125 percent of the maximum estimated hourly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of the fuel combusted.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(d) As an alternative to operating a CEMS at the inlet to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(or outlet of the steam generating unit if no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is used) as required under paragraph (a) of this section, an owner or operator may elect to determine the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by sampling the fuel prior to combustion. As an alternative to operating a CEMS at the outlet from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(or outlet of the steam generating unit if no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device is used) as required under paragraph (a) of this section, an owner or operator may elect to determine the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by using Method 6B of appendix A of this part. Fuel sampling shall be conducted pursuant to either paragraph (d</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1) or (d)(2) of this section. Method 6B of appendix A of this part shall be conducted pursuant to paragraph (d</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3)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input rate.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Method 6B of appendix A of this part may be used in lieu of CEMS to measure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at the inlet or outlet of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control system. An initial stratification test is required to verify the adequacy of the Method 6B of appendix A of this part sampling location. The stratification test shall consist of three paired runs of a suitable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and CO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(e) The monitoring requirements of paragraphs (a) and (d) of this section shall not apply to affected facilities subject to §60.42c(h) (1), (2), or (3) where the owner or operator of the affected facility seeks to demonstrate compliance with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standards based on fuel supplier certification, as described under §60.48c(f), as applicable.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147489" w:rsidRPr="00147489" w:rsidRDefault="00147489" w:rsidP="00147489">
      <w:pPr>
        <w:spacing w:before="200" w:after="100" w:afterAutospacing="1" w:line="240" w:lineRule="auto"/>
        <w:rPr>
          <w:rFonts w:ascii="Arial" w:eastAsia="Times New Roman" w:hAnsi="Arial" w:cs="Arial"/>
          <w:sz w:val="20"/>
          <w:szCs w:val="20"/>
        </w:rPr>
      </w:pPr>
      <w:hyperlink r:id="rId31" w:anchor="_top" w:history="1">
        <w:r w:rsidRPr="00147489">
          <w:rPr>
            <w:rFonts w:ascii="Arial" w:eastAsia="Times New Roman" w:hAnsi="Arial" w:cs="Arial"/>
            <w:noProof/>
            <w:color w:val="0000FF"/>
            <w:sz w:val="17"/>
            <w:szCs w:val="17"/>
          </w:rPr>
          <w:drawing>
            <wp:inline distT="0" distB="0" distL="0" distR="0">
              <wp:extent cx="152400" cy="152400"/>
              <wp:effectExtent l="0" t="0" r="0" b="0"/>
              <wp:docPr id="2" name="Picture 2"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489">
          <w:rPr>
            <w:rFonts w:ascii="Arial" w:eastAsia="Times New Roman" w:hAnsi="Arial" w:cs="Arial"/>
            <w:color w:val="0000FF"/>
            <w:sz w:val="17"/>
            <w:szCs w:val="17"/>
          </w:rPr>
          <w:t>Back to Top</w:t>
        </w:r>
      </w:hyperlink>
    </w:p>
    <w:p w:rsidR="00147489" w:rsidRPr="00147489" w:rsidRDefault="00147489" w:rsidP="00147489">
      <w:pPr>
        <w:spacing w:before="200" w:after="100" w:line="240" w:lineRule="auto"/>
        <w:outlineLvl w:val="1"/>
        <w:rPr>
          <w:rFonts w:ascii="Arial" w:eastAsia="Times New Roman" w:hAnsi="Arial" w:cs="Arial"/>
          <w:b/>
          <w:bCs/>
          <w:sz w:val="20"/>
          <w:szCs w:val="20"/>
        </w:rPr>
      </w:pPr>
      <w:bookmarkStart w:id="7" w:name="40:7.0.1.1.1.12.151.8"/>
      <w:bookmarkEnd w:id="7"/>
      <w:r w:rsidRPr="00147489">
        <w:rPr>
          <w:rFonts w:ascii="Arial" w:eastAsia="Times New Roman" w:hAnsi="Arial" w:cs="Arial"/>
          <w:b/>
          <w:bCs/>
          <w:sz w:val="20"/>
          <w:szCs w:val="20"/>
        </w:rPr>
        <w:lastRenderedPageBreak/>
        <w:t>§60.47c   Emission monitoring for particulate matter.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(a) Except as provided in paragraphs (c), (d), (e), and (f)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through (a)(1)(iv) of this section, as determined by the most recent Method 9 of appendix A-4 of this part performance test results.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2)(</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and (ii)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r w:rsidRPr="00147489">
        <w:rPr>
          <w:rFonts w:ascii="Arial" w:eastAsia="Times New Roman" w:hAnsi="Arial" w:cs="Arial"/>
          <w:i/>
          <w:iCs/>
          <w:sz w:val="20"/>
          <w:szCs w:val="20"/>
        </w:rPr>
        <w:t>i.e</w:t>
      </w:r>
      <w:proofErr w:type="gramStart"/>
      <w:r w:rsidRPr="00147489">
        <w:rPr>
          <w:rFonts w:ascii="Arial" w:eastAsia="Times New Roman" w:hAnsi="Arial" w:cs="Arial"/>
          <w:i/>
          <w:iCs/>
          <w:sz w:val="20"/>
          <w:szCs w:val="20"/>
        </w:rPr>
        <w:t>.</w:t>
      </w:r>
      <w:r w:rsidRPr="00147489">
        <w:rPr>
          <w:rFonts w:ascii="Arial" w:eastAsia="Times New Roman" w:hAnsi="Arial" w:cs="Arial"/>
          <w:sz w:val="20"/>
          <w:szCs w:val="20"/>
        </w:rPr>
        <w:t xml:space="preserve"> ,</w:t>
      </w:r>
      <w:proofErr w:type="gramEnd"/>
      <w:r w:rsidRPr="00147489">
        <w:rPr>
          <w:rFonts w:ascii="Arial" w:eastAsia="Times New Roman" w:hAnsi="Arial" w:cs="Arial"/>
          <w:sz w:val="20"/>
          <w:szCs w:val="20"/>
        </w:rPr>
        <w:t xml:space="preserve">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w:t>
      </w:r>
      <w:r w:rsidRPr="00147489">
        <w:rPr>
          <w:rFonts w:ascii="Arial" w:eastAsia="Times New Roman" w:hAnsi="Arial" w:cs="Arial"/>
          <w:i/>
          <w:iCs/>
          <w:sz w:val="20"/>
          <w:szCs w:val="20"/>
        </w:rPr>
        <w:t>i.e.,</w:t>
      </w:r>
      <w:r w:rsidRPr="00147489">
        <w:rPr>
          <w:rFonts w:ascii="Arial" w:eastAsia="Times New Roman" w:hAnsi="Arial" w:cs="Arial"/>
          <w:sz w:val="20"/>
          <w:szCs w:val="20"/>
        </w:rPr>
        <w:t xml:space="preserve"> 90 seconds per 30 minute period), the owner or operator </w:t>
      </w:r>
      <w:r w:rsidRPr="00147489">
        <w:rPr>
          <w:rFonts w:ascii="Arial" w:eastAsia="Times New Roman" w:hAnsi="Arial" w:cs="Arial"/>
          <w:sz w:val="20"/>
          <w:szCs w:val="20"/>
        </w:rPr>
        <w:lastRenderedPageBreak/>
        <w:t>shall either document and adjust the operation of the facility and demonstrate within 24 hours that the sum of the occurrence of visible emissions is equal to or less than 5 percent during a 30 minute observation (</w:t>
      </w:r>
      <w:r w:rsidRPr="00147489">
        <w:rPr>
          <w:rFonts w:ascii="Arial" w:eastAsia="Times New Roman" w:hAnsi="Arial" w:cs="Arial"/>
          <w:i/>
          <w:iCs/>
          <w:sz w:val="20"/>
          <w:szCs w:val="20"/>
        </w:rPr>
        <w:t>i.e.,</w:t>
      </w:r>
      <w:r w:rsidRPr="00147489">
        <w:rPr>
          <w:rFonts w:ascii="Arial" w:eastAsia="Times New Roman" w:hAnsi="Arial" w:cs="Arial"/>
          <w:sz w:val="20"/>
          <w:szCs w:val="20"/>
        </w:rPr>
        <w:t xml:space="preserve"> 90 seconds) or conduct a new Method 9 of appendix A-4 of this part performance test using the procedures in paragraph (a) of this section within 45 calendar days according to the requirements in §60.45c(a)(8).</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(b) All COMS shall be operated in accordance with the applicable procedures under Performance Specification 1 of appendix B of this part. The span value of the opacity COMS shall be between 60 and 80 percent.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(c) Owners and operators of an affected facilities that burn only distillate oil that contains no more than 0.5 weight percent sulfur and/or liquid or gaseous fuels with potential sulfur dioxide emission rates of 26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(0.060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heat input or less and that do not use a post-combustion technology to reduce SO2 or PM emissions and that are subject to an opacity standard in §60.43c(c) are not required to operate a COMS if they follow the applicable procedures in §</w:t>
      </w:r>
      <w:proofErr w:type="gramStart"/>
      <w:r w:rsidRPr="00147489">
        <w:rPr>
          <w:rFonts w:ascii="Arial" w:eastAsia="Times New Roman" w:hAnsi="Arial" w:cs="Arial"/>
          <w:sz w:val="20"/>
          <w:szCs w:val="20"/>
        </w:rPr>
        <w:t>60.48c(</w:t>
      </w:r>
      <w:proofErr w:type="gramEnd"/>
      <w:r w:rsidRPr="00147489">
        <w:rPr>
          <w:rFonts w:ascii="Arial" w:eastAsia="Times New Roman" w:hAnsi="Arial" w:cs="Arial"/>
          <w:sz w:val="20"/>
          <w:szCs w:val="20"/>
        </w:rPr>
        <w:t>f).</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(e) Owners and operators of an affected facility that is subject to an opacity standard in §60.43c(c) and that does not use post-combustion technology (except a wet scrubber) for reducing PM,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You must monitor CO emissions using a CEMS according to the procedures specified in paragraphs (e</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1)(</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through (iv)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CO CEMS must be installed, certified, maintained, and operated according to the provisions in §</w:t>
      </w:r>
      <w:proofErr w:type="gramStart"/>
      <w:r w:rsidRPr="00147489">
        <w:rPr>
          <w:rFonts w:ascii="Arial" w:eastAsia="Times New Roman" w:hAnsi="Arial" w:cs="Arial"/>
          <w:sz w:val="20"/>
          <w:szCs w:val="20"/>
        </w:rPr>
        <w:t>60.58b(</w:t>
      </w:r>
      <w:proofErr w:type="spellStart"/>
      <w:proofErr w:type="gramEnd"/>
      <w:r w:rsidRPr="00147489">
        <w:rPr>
          <w:rFonts w:ascii="Arial" w:eastAsia="Times New Roman" w:hAnsi="Arial" w:cs="Arial"/>
          <w:sz w:val="20"/>
          <w:szCs w:val="20"/>
        </w:rPr>
        <w:t>i</w:t>
      </w:r>
      <w:proofErr w:type="spellEnd"/>
      <w:r w:rsidRPr="00147489">
        <w:rPr>
          <w:rFonts w:ascii="Arial" w:eastAsia="Times New Roman" w:hAnsi="Arial" w:cs="Arial"/>
          <w:sz w:val="20"/>
          <w:szCs w:val="20"/>
        </w:rPr>
        <w:t xml:space="preserve">)(3) of subpart </w:t>
      </w:r>
      <w:proofErr w:type="spellStart"/>
      <w:r w:rsidRPr="00147489">
        <w:rPr>
          <w:rFonts w:ascii="Arial" w:eastAsia="Times New Roman" w:hAnsi="Arial" w:cs="Arial"/>
          <w:sz w:val="20"/>
          <w:szCs w:val="20"/>
        </w:rPr>
        <w:t>Eb</w:t>
      </w:r>
      <w:proofErr w:type="spellEnd"/>
      <w:r w:rsidRPr="00147489">
        <w:rPr>
          <w:rFonts w:ascii="Arial" w:eastAsia="Times New Roman" w:hAnsi="Arial" w:cs="Arial"/>
          <w:sz w:val="20"/>
          <w:szCs w:val="20"/>
        </w:rPr>
        <w:t xml:space="preserve">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(ii) Each 1-hour CO emissions average is calculated using the data points generated by the CO CEMS expressed in parts per million by volume corrected to 3 percent oxygen (dry basis).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At a minimum, valid 1-hour CO emissions averages must be obtained for at least 90 percent of the operating hours on a 30-day rolling average basis. The 1-hour averages are calculated using the data points required in §60.13(h</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2).</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proofErr w:type="gramStart"/>
      <w:r w:rsidRPr="00147489">
        <w:rPr>
          <w:rFonts w:ascii="Arial" w:eastAsia="Times New Roman" w:hAnsi="Arial" w:cs="Arial"/>
          <w:sz w:val="20"/>
          <w:szCs w:val="20"/>
        </w:rPr>
        <w:t>(iv) Quarterly</w:t>
      </w:r>
      <w:proofErr w:type="gramEnd"/>
      <w:r w:rsidRPr="00147489">
        <w:rPr>
          <w:rFonts w:ascii="Arial" w:eastAsia="Times New Roman" w:hAnsi="Arial" w:cs="Arial"/>
          <w:sz w:val="20"/>
          <w:szCs w:val="20"/>
        </w:rPr>
        <w:t xml:space="preserve"> accuracy determinations and daily calibration drift tests for the CO CEMS must be performed in accordance with procedure 1 in appendix F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(3) You must evaluate the preceding 24-hour average CO emission level each steam generating unit operating day excluding periods of affected source startup, shutdown, or malfunction. If the 24-hour average CO emission level is greater than 0.15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xml:space="preserve"> or less.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(4) You must record the CO measurements and calculations performed according to paragraph (e) of this section and any corrective actions taken. The record of corrective action taken must include the date and time during which the 24-hour average CO emission level was greater than 0.15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and the date, time, and description of the corrective action.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(f) An owner or operator of an affected facility that is subject to an opacity standard in §60.43c(c) is not required to operate a COMS provided that the affected facility meets the conditions in either paragraphs (f)(1), (2), or (3)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The affected facility uses a fabric filter (</w:t>
      </w:r>
      <w:proofErr w:type="spellStart"/>
      <w:r w:rsidRPr="00147489">
        <w:rPr>
          <w:rFonts w:ascii="Arial" w:eastAsia="Times New Roman" w:hAnsi="Arial" w:cs="Arial"/>
          <w:sz w:val="20"/>
          <w:szCs w:val="20"/>
        </w:rPr>
        <w:t>baghouse</w:t>
      </w:r>
      <w:proofErr w:type="spellEnd"/>
      <w:r w:rsidRPr="00147489">
        <w:rPr>
          <w:rFonts w:ascii="Arial" w:eastAsia="Times New Roman" w:hAnsi="Arial" w:cs="Arial"/>
          <w:sz w:val="20"/>
          <w:szCs w:val="20"/>
        </w:rPr>
        <w:t>) as the primary PM control device and, the owner or operator operates a bag leak detection system to monitor the performance of the fabric filter according to the requirements in section §60.48Da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The affected facility uses an ESP as the primary PM control device, and the owner or operator uses an ESP predictive model to monitor the performance of the ESP developed in accordance and operated according to the requirements in section §60.48Da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The affected facility burns only gaseous fuels and/or fuel oils that contain no greater than 0.5 weight percent sulfur, and the owner or operator operates the unit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§60.48c(c).</w:t>
      </w:r>
    </w:p>
    <w:p w:rsidR="00147489" w:rsidRPr="00147489" w:rsidRDefault="00147489" w:rsidP="00147489">
      <w:pPr>
        <w:spacing w:before="200" w:after="100" w:afterAutospacing="1" w:line="240" w:lineRule="auto"/>
        <w:rPr>
          <w:rFonts w:ascii="Arial" w:eastAsia="Times New Roman" w:hAnsi="Arial" w:cs="Arial"/>
          <w:sz w:val="18"/>
          <w:szCs w:val="18"/>
        </w:rPr>
      </w:pPr>
      <w:r w:rsidRPr="00147489">
        <w:rPr>
          <w:rFonts w:ascii="Arial" w:eastAsia="Times New Roman" w:hAnsi="Arial" w:cs="Arial"/>
          <w:sz w:val="18"/>
          <w:szCs w:val="18"/>
        </w:rPr>
        <w:t>[72 FR 32759, June 13, 2007, as amended at 74 FR 5091, Jan. 28, 2009; 76 FR 3523, Jan. 20, 2011; 77 FR 9463, Feb. 16, 2012]</w:t>
      </w:r>
    </w:p>
    <w:p w:rsidR="00147489" w:rsidRPr="00147489" w:rsidRDefault="00147489" w:rsidP="00147489">
      <w:pPr>
        <w:spacing w:before="200" w:after="100" w:afterAutospacing="1" w:line="240" w:lineRule="auto"/>
        <w:rPr>
          <w:rFonts w:ascii="Arial" w:eastAsia="Times New Roman" w:hAnsi="Arial" w:cs="Arial"/>
          <w:sz w:val="20"/>
          <w:szCs w:val="20"/>
        </w:rPr>
      </w:pPr>
      <w:hyperlink r:id="rId32" w:anchor="_top" w:history="1">
        <w:r w:rsidRPr="00147489">
          <w:rPr>
            <w:rFonts w:ascii="Arial" w:eastAsia="Times New Roman" w:hAnsi="Arial" w:cs="Arial"/>
            <w:noProof/>
            <w:color w:val="0000FF"/>
            <w:sz w:val="17"/>
            <w:szCs w:val="17"/>
          </w:rPr>
          <w:drawing>
            <wp:inline distT="0" distB="0" distL="0" distR="0">
              <wp:extent cx="152400" cy="152400"/>
              <wp:effectExtent l="0" t="0" r="0" b="0"/>
              <wp:docPr id="1" name="Picture 1"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7489">
          <w:rPr>
            <w:rFonts w:ascii="Arial" w:eastAsia="Times New Roman" w:hAnsi="Arial" w:cs="Arial"/>
            <w:color w:val="0000FF"/>
            <w:sz w:val="17"/>
            <w:szCs w:val="17"/>
          </w:rPr>
          <w:t>Back to Top</w:t>
        </w:r>
      </w:hyperlink>
    </w:p>
    <w:p w:rsidR="00147489" w:rsidRPr="00147489" w:rsidRDefault="00147489" w:rsidP="00147489">
      <w:pPr>
        <w:spacing w:before="200" w:after="100" w:line="240" w:lineRule="auto"/>
        <w:outlineLvl w:val="1"/>
        <w:rPr>
          <w:rFonts w:ascii="Arial" w:eastAsia="Times New Roman" w:hAnsi="Arial" w:cs="Arial"/>
          <w:b/>
          <w:bCs/>
          <w:sz w:val="20"/>
          <w:szCs w:val="20"/>
        </w:rPr>
      </w:pPr>
      <w:bookmarkStart w:id="8" w:name="40:7.0.1.1.1.12.151.9"/>
      <w:bookmarkEnd w:id="8"/>
      <w:r w:rsidRPr="00147489">
        <w:rPr>
          <w:rFonts w:ascii="Arial" w:eastAsia="Times New Roman" w:hAnsi="Arial" w:cs="Arial"/>
          <w:b/>
          <w:bCs/>
          <w:sz w:val="20"/>
          <w:szCs w:val="20"/>
        </w:rPr>
        <w:t>§60.48c   Reporting and recordkeeping requirements.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(a) The owner or operator of each affected facility shall submit notification of the date of construction or reconstruction and actual startup, as provided by §60.7 of this part. This notification shall include: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The design heat input capacity of the affected facility and identification of fuels to be combusted in the affected facility.</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If applicable, a copy of any federally enforceable requirement that limits the annual capacity factor for any fuel or mixture of fuels under §60.42c, or §60.43c.</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The annual capacity factor at which the owner or operator anticipates operating the affected facility based on all fuels fired and based on each individual fuel fired.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(4) Notification if an emerging technology will be used for controlling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w:t>
      </w:r>
      <w:proofErr w:type="gramStart"/>
      <w:r w:rsidRPr="00147489">
        <w:rPr>
          <w:rFonts w:ascii="Arial" w:eastAsia="Times New Roman" w:hAnsi="Arial" w:cs="Arial"/>
          <w:sz w:val="20"/>
          <w:szCs w:val="20"/>
        </w:rPr>
        <w:t>60.42c(</w:t>
      </w:r>
      <w:proofErr w:type="gramEnd"/>
      <w:r w:rsidRPr="00147489">
        <w:rPr>
          <w:rFonts w:ascii="Arial" w:eastAsia="Times New Roman" w:hAnsi="Arial" w:cs="Arial"/>
          <w:sz w:val="20"/>
          <w:szCs w:val="20"/>
        </w:rPr>
        <w:t>a) or (b)(1), unless and until this determination is made by the Administrator.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(b) The owner or operator of each affected facility subject to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1) through (3) of this section, as applicable to the visible emissions monitoring method used.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For each performance test conducted using Method 9 of appendix A-4 of this part, the owner or operator shall keep the records including the information specified in paragraphs (c)(1)(</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through (iii)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Dates and time intervals of all opacity observation periods;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Name, affiliation, and copy of current visible emission reading certification for each visible emission observer participating in the performance test;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Copies of all visible emission observer opacity field data sheets;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For each performance test conducted using Method 22 of appendix A-4 of this part, the owner or operator shall keep the records including the information specified in paragraphs (c)(2)(</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through (iv) of this section.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Dates and time intervals of all visible emissions observation periods;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Name and affiliation for each visible emission observer participating in the performance test;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(iii) Copies of all visible emission observer opacity field data sheets;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proofErr w:type="gramStart"/>
      <w:r w:rsidRPr="00147489">
        <w:rPr>
          <w:rFonts w:ascii="Arial" w:eastAsia="Times New Roman" w:hAnsi="Arial" w:cs="Arial"/>
          <w:sz w:val="20"/>
          <w:szCs w:val="20"/>
        </w:rPr>
        <w:t>(iv) Documentation</w:t>
      </w:r>
      <w:proofErr w:type="gramEnd"/>
      <w:r w:rsidRPr="00147489">
        <w:rPr>
          <w:rFonts w:ascii="Arial" w:eastAsia="Times New Roman" w:hAnsi="Arial" w:cs="Arial"/>
          <w:sz w:val="20"/>
          <w:szCs w:val="20"/>
        </w:rPr>
        <w:t xml:space="preserve"> of any adjustments made and the time the adjustments were completed to the affected facility operation by the owner or operator to demonstrate compliance with the applicable monitoring requirements.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For each digital opacity compliance system, the owner or operator shall maintain records and submit reports according to the requirements specified in the site-specific monitoring plan approved by the Administrator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(d) The owner or operator of each affected facility subject to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limits, fuel oil sulfur limits, or percent reduction requirements under §60.42c shall submit reports to the Administrator.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(e) The owner or operator of each affected facility subject to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limits, fuel oil sulfur limits, or percent reduction requirements under §60.42c shall keep records and submit reports as required under paragraph (d) of this section, including the following information, as applicable.</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Calendar dates covered in the reporting period.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Each 30-day average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 xml:space="preserve">/J or </w:t>
      </w:r>
      <w:proofErr w:type="spellStart"/>
      <w:r w:rsidRPr="00147489">
        <w:rPr>
          <w:rFonts w:ascii="Arial" w:eastAsia="Times New Roman" w:hAnsi="Arial" w:cs="Arial"/>
          <w:sz w:val="20"/>
          <w:szCs w:val="20"/>
        </w:rPr>
        <w:t>lb</w:t>
      </w:r>
      <w:proofErr w:type="spellEnd"/>
      <w:r w:rsidRPr="00147489">
        <w:rPr>
          <w:rFonts w:ascii="Arial" w:eastAsia="Times New Roman" w:hAnsi="Arial" w:cs="Arial"/>
          <w:sz w:val="20"/>
          <w:szCs w:val="20"/>
        </w:rPr>
        <w:t>/</w:t>
      </w:r>
      <w:proofErr w:type="spellStart"/>
      <w:r w:rsidRPr="00147489">
        <w:rPr>
          <w:rFonts w:ascii="Arial" w:eastAsia="Times New Roman" w:hAnsi="Arial" w:cs="Arial"/>
          <w:sz w:val="20"/>
          <w:szCs w:val="20"/>
        </w:rPr>
        <w:t>MMBtu</w:t>
      </w:r>
      <w:proofErr w:type="spellEnd"/>
      <w:r w:rsidRPr="00147489">
        <w:rPr>
          <w:rFonts w:ascii="Arial" w:eastAsia="Times New Roman" w:hAnsi="Arial" w:cs="Arial"/>
          <w:sz w:val="20"/>
          <w:szCs w:val="20"/>
        </w:rPr>
        <w:t>), or 30-day average sulfur content (weight percent), calculated during the reporting period, ending with the last 30-day period; reasons for any noncompliance with the emission standards; and a description of corrective actions taken.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Each 30-day average percent of potential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emission rate calculated during the reporting period, ending with the last 30-day period; reasons for any noncompliance with the emission standards; and a description of the corrective actions taken.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(4) Identification of any steam generating unit operating days for which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or diluent (O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or CO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data have not been obtained by an approved method for at least 75 percent of the operating hours; justification for not obtaining sufficient data; and a description of corrective actions taken.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(6) Identification of the F factor used in calculations, method of determination, and type of fuel combusted.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(7) Identification of whether averages have been obtained based on CEMS rather than manual sampling methods.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(8) If a CEMS is used, identification of any times when the pollutant concentration exceeded the full span of the CEMS.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(9) If a CEMS is used, description of any modifications to the CEMS that could affect the ability of the CEMS to comply with Performance Specifications 2 or 3 of appendix B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(10) If a CEMS is used, results of daily CEMS drift tests and quarterly accuracy assessments as required under appendix F, Procedure 1 of this part.</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(11) If fuel supplier certification is used to demonstrate compliance, records of fuel supplier certification as described under paragraph (f</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 xml:space="preserve">1), (2), (3), or (4) of this section, as applicable. In addition to </w:t>
      </w:r>
      <w:r w:rsidRPr="00147489">
        <w:rPr>
          <w:rFonts w:ascii="Arial" w:eastAsia="Times New Roman" w:hAnsi="Arial" w:cs="Arial"/>
          <w:sz w:val="20"/>
          <w:szCs w:val="20"/>
        </w:rPr>
        <w:lastRenderedPageBreak/>
        <w:t>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(f) Fuel supplier certification shall include the following information: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(1) For distillate oil: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name of the oil supplier;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A statement from the oil supplier that the oil complies with the specifications under the definition of distillate oil in §60.41c;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The sulfur content or maximum sulfur content of the oil.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For residual oil: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name of the oil supplier;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The sulfur content of the oil from which the shipment came (or of the shipment itself);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proofErr w:type="gramStart"/>
      <w:r w:rsidRPr="00147489">
        <w:rPr>
          <w:rFonts w:ascii="Arial" w:eastAsia="Times New Roman" w:hAnsi="Arial" w:cs="Arial"/>
          <w:sz w:val="20"/>
          <w:szCs w:val="20"/>
        </w:rPr>
        <w:t>(iv) The</w:t>
      </w:r>
      <w:proofErr w:type="gramEnd"/>
      <w:r w:rsidRPr="00147489">
        <w:rPr>
          <w:rFonts w:ascii="Arial" w:eastAsia="Times New Roman" w:hAnsi="Arial" w:cs="Arial"/>
          <w:sz w:val="20"/>
          <w:szCs w:val="20"/>
        </w:rPr>
        <w:t xml:space="preserve"> method used to determine the sulfur content of the oil.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For coal: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name of the coal supplier;</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The results of the analysis of the coal from which the shipment came (or of the shipment itself) including the sulfur content, moisture content, ash content, and heat content;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proofErr w:type="gramStart"/>
      <w:r w:rsidRPr="00147489">
        <w:rPr>
          <w:rFonts w:ascii="Arial" w:eastAsia="Times New Roman" w:hAnsi="Arial" w:cs="Arial"/>
          <w:sz w:val="20"/>
          <w:szCs w:val="20"/>
        </w:rPr>
        <w:t>(iv) The</w:t>
      </w:r>
      <w:proofErr w:type="gramEnd"/>
      <w:r w:rsidRPr="00147489">
        <w:rPr>
          <w:rFonts w:ascii="Arial" w:eastAsia="Times New Roman" w:hAnsi="Arial" w:cs="Arial"/>
          <w:sz w:val="20"/>
          <w:szCs w:val="20"/>
        </w:rPr>
        <w:t xml:space="preserve"> methods used to determine the properties of the coal.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(4) For other fuels:</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The name of the supplier of the fuel;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 xml:space="preserve">(ii) The potential sulfur emissions rate or maximum potential sulfur emissions rate of the fuel in </w:t>
      </w:r>
      <w:proofErr w:type="spellStart"/>
      <w:r w:rsidRPr="00147489">
        <w:rPr>
          <w:rFonts w:ascii="Arial" w:eastAsia="Times New Roman" w:hAnsi="Arial" w:cs="Arial"/>
          <w:sz w:val="20"/>
          <w:szCs w:val="20"/>
        </w:rPr>
        <w:t>ng</w:t>
      </w:r>
      <w:proofErr w:type="spellEnd"/>
      <w:r w:rsidRPr="00147489">
        <w:rPr>
          <w:rFonts w:ascii="Arial" w:eastAsia="Times New Roman" w:hAnsi="Arial" w:cs="Arial"/>
          <w:sz w:val="20"/>
          <w:szCs w:val="20"/>
        </w:rPr>
        <w:t>/J heat input; and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(iii) The method used to determine the potential sulfur emissions rate of the fuel.</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lastRenderedPageBreak/>
        <w:t>(g)(1) Except as provided under paragraphs (g)(2) and (g)(3) of this section, the owner or operator of each affected facility shall record and maintain records of the amount of each fuel combusted during each operating day.</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(2) As an alternative to meeting the requirements of paragraph (g</w:t>
      </w:r>
      <w:proofErr w:type="gramStart"/>
      <w:r w:rsidRPr="00147489">
        <w:rPr>
          <w:rFonts w:ascii="Arial" w:eastAsia="Times New Roman" w:hAnsi="Arial" w:cs="Arial"/>
          <w:sz w:val="20"/>
          <w:szCs w:val="20"/>
        </w:rPr>
        <w:t>)(</w:t>
      </w:r>
      <w:proofErr w:type="gramEnd"/>
      <w:r w:rsidRPr="00147489">
        <w:rPr>
          <w:rFonts w:ascii="Arial" w:eastAsia="Times New Roman" w:hAnsi="Arial" w:cs="Arial"/>
          <w:sz w:val="20"/>
          <w:szCs w:val="20"/>
        </w:rPr>
        <w:t>1) of this section, the owner or operator of an affected facility that combusts only natural gas, wood, fuels using fuel certification in §60.48c(f) to demonstrate compliance with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standard, fuels not subject to an emissions standard (excluding opacity), or a mixture of these fuels may elect to record and maintain records of the amount of each fuel combusted during each calendar month.</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147489">
        <w:rPr>
          <w:rFonts w:ascii="Arial" w:eastAsia="Times New Roman" w:hAnsi="Arial" w:cs="Arial"/>
          <w:sz w:val="14"/>
          <w:szCs w:val="14"/>
          <w:vertAlign w:val="subscript"/>
        </w:rPr>
        <w:t>2</w:t>
      </w:r>
      <w:r w:rsidRPr="00147489">
        <w:rPr>
          <w:rFonts w:ascii="Arial" w:eastAsia="Times New Roman" w:hAnsi="Arial" w:cs="Arial"/>
          <w:sz w:val="20"/>
          <w:szCs w:val="20"/>
        </w:rPr>
        <w:t xml:space="preserve"> standard, and/or fuels, excluding coal and residual oil, not subject to an emissions standard (excluding opacity) may elect to record and maintain records of the total amount of each steam generating unit fuel delivered to that property during each calendar month.</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w:t>
      </w:r>
      <w:proofErr w:type="spellStart"/>
      <w:r w:rsidRPr="00147489">
        <w:rPr>
          <w:rFonts w:ascii="Arial" w:eastAsia="Times New Roman" w:hAnsi="Arial" w:cs="Arial"/>
          <w:sz w:val="20"/>
          <w:szCs w:val="20"/>
        </w:rPr>
        <w:t>i</w:t>
      </w:r>
      <w:proofErr w:type="spellEnd"/>
      <w:r w:rsidRPr="00147489">
        <w:rPr>
          <w:rFonts w:ascii="Arial" w:eastAsia="Times New Roman" w:hAnsi="Arial" w:cs="Arial"/>
          <w:sz w:val="20"/>
          <w:szCs w:val="20"/>
        </w:rPr>
        <w:t>) All records required under this section shall be maintained by the owner or operator of the affected facility for a period of two years following the date of such record.</w:t>
      </w:r>
    </w:p>
    <w:p w:rsidR="00147489" w:rsidRPr="00147489" w:rsidRDefault="00147489" w:rsidP="00147489">
      <w:pPr>
        <w:spacing w:before="100" w:beforeAutospacing="1" w:after="100" w:afterAutospacing="1" w:line="240" w:lineRule="auto"/>
        <w:ind w:firstLine="480"/>
        <w:rPr>
          <w:rFonts w:ascii="Arial" w:eastAsia="Times New Roman" w:hAnsi="Arial" w:cs="Arial"/>
          <w:sz w:val="20"/>
          <w:szCs w:val="20"/>
        </w:rPr>
      </w:pPr>
      <w:r w:rsidRPr="00147489">
        <w:rPr>
          <w:rFonts w:ascii="Arial" w:eastAsia="Times New Roman" w:hAnsi="Arial" w:cs="Arial"/>
          <w:sz w:val="20"/>
          <w:szCs w:val="20"/>
        </w:rPr>
        <w:t>(j) The reporting period for the reports required under this subpart is each six-month period. All reports shall be submitted to the Administrator and shall be postmarked by the 30th day following the end of the reporting period.</w:t>
      </w:r>
    </w:p>
    <w:p w:rsidR="00C10778" w:rsidRDefault="00147489" w:rsidP="00147489">
      <w:r w:rsidRPr="00147489">
        <w:rPr>
          <w:rFonts w:ascii="Arial" w:eastAsia="Times New Roman" w:hAnsi="Arial" w:cs="Arial"/>
          <w:sz w:val="24"/>
          <w:szCs w:val="24"/>
        </w:rPr>
        <w:t>[72 FR 32759, June 13, 2007, as amended at 74 FR 5091, Jan. 28, 2009]</w:t>
      </w:r>
    </w:p>
    <w:sectPr w:rsidR="00C107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489"/>
    <w:rsid w:val="00147489"/>
    <w:rsid w:val="00C10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75B19D-45D0-426D-A64F-B0AAF357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47489"/>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7489"/>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147489"/>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147489"/>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147489"/>
    <w:pPr>
      <w:spacing w:before="200" w:after="100" w:afterAutospacing="1" w:line="240" w:lineRule="auto"/>
    </w:pPr>
    <w:rPr>
      <w:rFonts w:ascii="Times New Roman" w:eastAsia="Times New Roman" w:hAnsi="Times New Roman" w:cs="Times New Roman"/>
      <w:sz w:val="24"/>
      <w:szCs w:val="24"/>
    </w:rPr>
  </w:style>
  <w:style w:type="paragraph" w:customStyle="1" w:styleId="cita">
    <w:name w:val="cita"/>
    <w:basedOn w:val="Normal"/>
    <w:rsid w:val="00147489"/>
    <w:pPr>
      <w:spacing w:before="200" w:after="100" w:afterAutospacing="1" w:line="240" w:lineRule="auto"/>
    </w:pPr>
    <w:rPr>
      <w:rFonts w:ascii="Times New Roman" w:eastAsia="Times New Roman" w:hAnsi="Times New Roman" w:cs="Times New Roman"/>
      <w:sz w:val="18"/>
      <w:szCs w:val="18"/>
    </w:rPr>
  </w:style>
  <w:style w:type="paragraph" w:customStyle="1" w:styleId="fp-2">
    <w:name w:val="fp-2"/>
    <w:basedOn w:val="Normal"/>
    <w:rsid w:val="00147489"/>
    <w:pPr>
      <w:spacing w:before="200" w:after="100" w:line="240" w:lineRule="auto"/>
      <w:ind w:left="960" w:hanging="96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763333">
      <w:bodyDiv w:val="1"/>
      <w:marLeft w:val="0"/>
      <w:marRight w:val="0"/>
      <w:marTop w:val="30"/>
      <w:marBottom w:val="750"/>
      <w:divBdr>
        <w:top w:val="none" w:sz="0" w:space="0" w:color="auto"/>
        <w:left w:val="none" w:sz="0" w:space="0" w:color="auto"/>
        <w:bottom w:val="none" w:sz="0" w:space="0" w:color="auto"/>
        <w:right w:val="none" w:sz="0" w:space="0" w:color="auto"/>
      </w:divBdr>
      <w:divsChild>
        <w:div w:id="338125545">
          <w:marLeft w:val="0"/>
          <w:marRight w:val="0"/>
          <w:marTop w:val="0"/>
          <w:marBottom w:val="0"/>
          <w:divBdr>
            <w:top w:val="none" w:sz="0" w:space="0" w:color="auto"/>
            <w:left w:val="none" w:sz="0" w:space="0" w:color="auto"/>
            <w:bottom w:val="none" w:sz="0" w:space="0" w:color="auto"/>
            <w:right w:val="none" w:sz="0" w:space="0" w:color="auto"/>
          </w:divBdr>
          <w:divsChild>
            <w:div w:id="1122924699">
              <w:marLeft w:val="0"/>
              <w:marRight w:val="0"/>
              <w:marTop w:val="0"/>
              <w:marBottom w:val="0"/>
              <w:divBdr>
                <w:top w:val="none" w:sz="0" w:space="0" w:color="auto"/>
                <w:left w:val="none" w:sz="0" w:space="0" w:color="auto"/>
                <w:bottom w:val="none" w:sz="0" w:space="0" w:color="auto"/>
                <w:right w:val="none" w:sz="0" w:space="0" w:color="auto"/>
              </w:divBdr>
            </w:div>
            <w:div w:id="1972779970">
              <w:marLeft w:val="0"/>
              <w:marRight w:val="0"/>
              <w:marTop w:val="0"/>
              <w:marBottom w:val="0"/>
              <w:divBdr>
                <w:top w:val="none" w:sz="0" w:space="0" w:color="auto"/>
                <w:left w:val="none" w:sz="0" w:space="0" w:color="auto"/>
                <w:bottom w:val="none" w:sz="0" w:space="0" w:color="auto"/>
                <w:right w:val="none" w:sz="0" w:space="0" w:color="auto"/>
              </w:divBdr>
            </w:div>
            <w:div w:id="473910718">
              <w:marLeft w:val="0"/>
              <w:marRight w:val="0"/>
              <w:marTop w:val="0"/>
              <w:marBottom w:val="0"/>
              <w:divBdr>
                <w:top w:val="none" w:sz="0" w:space="0" w:color="auto"/>
                <w:left w:val="none" w:sz="0" w:space="0" w:color="auto"/>
                <w:bottom w:val="none" w:sz="0" w:space="0" w:color="auto"/>
                <w:right w:val="none" w:sz="0" w:space="0" w:color="auto"/>
              </w:divBdr>
            </w:div>
            <w:div w:id="157237000">
              <w:marLeft w:val="0"/>
              <w:marRight w:val="0"/>
              <w:marTop w:val="0"/>
              <w:marBottom w:val="0"/>
              <w:divBdr>
                <w:top w:val="none" w:sz="0" w:space="0" w:color="auto"/>
                <w:left w:val="none" w:sz="0" w:space="0" w:color="auto"/>
                <w:bottom w:val="none" w:sz="0" w:space="0" w:color="auto"/>
                <w:right w:val="none" w:sz="0" w:space="0" w:color="auto"/>
              </w:divBdr>
            </w:div>
            <w:div w:id="857157533">
              <w:marLeft w:val="0"/>
              <w:marRight w:val="0"/>
              <w:marTop w:val="0"/>
              <w:marBottom w:val="0"/>
              <w:divBdr>
                <w:top w:val="none" w:sz="0" w:space="0" w:color="auto"/>
                <w:left w:val="none" w:sz="0" w:space="0" w:color="auto"/>
                <w:bottom w:val="none" w:sz="0" w:space="0" w:color="auto"/>
                <w:right w:val="none" w:sz="0" w:space="0" w:color="auto"/>
              </w:divBdr>
            </w:div>
            <w:div w:id="565846004">
              <w:marLeft w:val="0"/>
              <w:marRight w:val="0"/>
              <w:marTop w:val="0"/>
              <w:marBottom w:val="0"/>
              <w:divBdr>
                <w:top w:val="none" w:sz="0" w:space="0" w:color="auto"/>
                <w:left w:val="none" w:sz="0" w:space="0" w:color="auto"/>
                <w:bottom w:val="none" w:sz="0" w:space="0" w:color="auto"/>
                <w:right w:val="none" w:sz="0" w:space="0" w:color="auto"/>
              </w:divBdr>
            </w:div>
            <w:div w:id="1909223845">
              <w:marLeft w:val="0"/>
              <w:marRight w:val="0"/>
              <w:marTop w:val="0"/>
              <w:marBottom w:val="0"/>
              <w:divBdr>
                <w:top w:val="none" w:sz="0" w:space="0" w:color="auto"/>
                <w:left w:val="none" w:sz="0" w:space="0" w:color="auto"/>
                <w:bottom w:val="none" w:sz="0" w:space="0" w:color="auto"/>
                <w:right w:val="none" w:sz="0" w:space="0" w:color="auto"/>
              </w:divBdr>
            </w:div>
            <w:div w:id="1612009995">
              <w:marLeft w:val="0"/>
              <w:marRight w:val="0"/>
              <w:marTop w:val="0"/>
              <w:marBottom w:val="0"/>
              <w:divBdr>
                <w:top w:val="none" w:sz="0" w:space="0" w:color="auto"/>
                <w:left w:val="none" w:sz="0" w:space="0" w:color="auto"/>
                <w:bottom w:val="none" w:sz="0" w:space="0" w:color="auto"/>
                <w:right w:val="none" w:sz="0" w:space="0" w:color="auto"/>
              </w:divBdr>
            </w:div>
            <w:div w:id="123544640">
              <w:marLeft w:val="0"/>
              <w:marRight w:val="0"/>
              <w:marTop w:val="0"/>
              <w:marBottom w:val="0"/>
              <w:divBdr>
                <w:top w:val="none" w:sz="0" w:space="0" w:color="auto"/>
                <w:left w:val="none" w:sz="0" w:space="0" w:color="auto"/>
                <w:bottom w:val="none" w:sz="0" w:space="0" w:color="auto"/>
                <w:right w:val="none" w:sz="0" w:space="0" w:color="auto"/>
              </w:divBdr>
            </w:div>
            <w:div w:id="1310015614">
              <w:marLeft w:val="0"/>
              <w:marRight w:val="0"/>
              <w:marTop w:val="0"/>
              <w:marBottom w:val="0"/>
              <w:divBdr>
                <w:top w:val="none" w:sz="0" w:space="0" w:color="auto"/>
                <w:left w:val="none" w:sz="0" w:space="0" w:color="auto"/>
                <w:bottom w:val="none" w:sz="0" w:space="0" w:color="auto"/>
                <w:right w:val="none" w:sz="0" w:space="0" w:color="auto"/>
              </w:divBdr>
            </w:div>
            <w:div w:id="971522557">
              <w:marLeft w:val="0"/>
              <w:marRight w:val="0"/>
              <w:marTop w:val="0"/>
              <w:marBottom w:val="0"/>
              <w:divBdr>
                <w:top w:val="none" w:sz="0" w:space="0" w:color="auto"/>
                <w:left w:val="none" w:sz="0" w:space="0" w:color="auto"/>
                <w:bottom w:val="none" w:sz="0" w:space="0" w:color="auto"/>
                <w:right w:val="none" w:sz="0" w:space="0" w:color="auto"/>
              </w:divBdr>
            </w:div>
            <w:div w:id="571232702">
              <w:marLeft w:val="0"/>
              <w:marRight w:val="0"/>
              <w:marTop w:val="0"/>
              <w:marBottom w:val="0"/>
              <w:divBdr>
                <w:top w:val="none" w:sz="0" w:space="0" w:color="auto"/>
                <w:left w:val="none" w:sz="0" w:space="0" w:color="auto"/>
                <w:bottom w:val="none" w:sz="0" w:space="0" w:color="auto"/>
                <w:right w:val="none" w:sz="0" w:space="0" w:color="auto"/>
              </w:divBdr>
            </w:div>
            <w:div w:id="20246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769979">
      <w:bodyDiv w:val="1"/>
      <w:marLeft w:val="0"/>
      <w:marRight w:val="0"/>
      <w:marTop w:val="30"/>
      <w:marBottom w:val="750"/>
      <w:divBdr>
        <w:top w:val="none" w:sz="0" w:space="0" w:color="auto"/>
        <w:left w:val="none" w:sz="0" w:space="0" w:color="auto"/>
        <w:bottom w:val="none" w:sz="0" w:space="0" w:color="auto"/>
        <w:right w:val="none" w:sz="0" w:space="0" w:color="auto"/>
      </w:divBdr>
      <w:divsChild>
        <w:div w:id="1277248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f3fdbc8d6479365eb3b8663db064ff53&amp;node=40:7.0.1.1.1.12&amp;rgn=div6" TargetMode="External"/><Relationship Id="rId13" Type="http://schemas.openxmlformats.org/officeDocument/2006/relationships/hyperlink" Target="http://www.ecfr.gov/cgi-bin/text-idx?SID=f3fdbc8d6479365eb3b8663db064ff53&amp;node=40:7.0.1.1.1.12&amp;rgn=div6" TargetMode="External"/><Relationship Id="rId18" Type="http://schemas.openxmlformats.org/officeDocument/2006/relationships/hyperlink" Target="http://www.ecfr.gov/graphics/pdfs/er28ja09.005.pdf" TargetMode="External"/><Relationship Id="rId26" Type="http://schemas.openxmlformats.org/officeDocument/2006/relationships/hyperlink" Target="http://www.ecfr.gov/graphics/pdfs/er13jn07.035.pdf" TargetMode="External"/><Relationship Id="rId3" Type="http://schemas.openxmlformats.org/officeDocument/2006/relationships/webSettings" Target="webSettings.xml"/><Relationship Id="rId21" Type="http://schemas.openxmlformats.org/officeDocument/2006/relationships/image" Target="media/image3.gif"/><Relationship Id="rId34" Type="http://schemas.openxmlformats.org/officeDocument/2006/relationships/theme" Target="theme/theme1.xml"/><Relationship Id="rId7" Type="http://schemas.openxmlformats.org/officeDocument/2006/relationships/hyperlink" Target="http://www.ecfr.gov/cgi-bin/text-idx?SID=f3fdbc8d6479365eb3b8663db064ff53&amp;node=40:7.0.1.1.1.12&amp;rgn=div6" TargetMode="External"/><Relationship Id="rId12" Type="http://schemas.openxmlformats.org/officeDocument/2006/relationships/hyperlink" Target="http://www.ecfr.gov/cgi-bin/text-idx?SID=f3fdbc8d6479365eb3b8663db064ff53&amp;node=40:7.0.1.1.1.12&amp;rgn=div6" TargetMode="External"/><Relationship Id="rId17" Type="http://schemas.openxmlformats.org/officeDocument/2006/relationships/image" Target="media/image2.gif"/><Relationship Id="rId25" Type="http://schemas.openxmlformats.org/officeDocument/2006/relationships/image" Target="media/image5.gif"/><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ecfr.gov/cgi-bin/text-idx?SID=f3fdbc8d6479365eb3b8663db064ff53&amp;node=40:7.0.1.1.1.12&amp;rgn=div6" TargetMode="External"/><Relationship Id="rId20" Type="http://schemas.openxmlformats.org/officeDocument/2006/relationships/hyperlink" Target="http://www.ecfr.gov/cgi-bin/text-idx?SID=f3fdbc8d6479365eb3b8663db064ff53&amp;node=40:7.0.1.1.1.12&amp;rgn=div6" TargetMode="External"/><Relationship Id="rId29" Type="http://schemas.openxmlformats.org/officeDocument/2006/relationships/hyperlink" Target="http://www.ecfr.gov/cgi-bin/text-idx?SID=f3fdbc8d6479365eb3b8663db064ff53&amp;node=40:7.0.1.1.1.12&amp;rgn=div6" TargetMode="External"/><Relationship Id="rId1" Type="http://schemas.openxmlformats.org/officeDocument/2006/relationships/styles" Target="styles.xml"/><Relationship Id="rId6" Type="http://schemas.openxmlformats.org/officeDocument/2006/relationships/hyperlink" Target="http://www.ecfr.gov/cgi-bin/text-idx?SID=f3fdbc8d6479365eb3b8663db064ff53&amp;node=40:7.0.1.1.1.12&amp;rgn=div6" TargetMode="External"/><Relationship Id="rId11" Type="http://schemas.openxmlformats.org/officeDocument/2006/relationships/hyperlink" Target="http://www.ecfr.gov/cgi-bin/text-idx?SID=f3fdbc8d6479365eb3b8663db064ff53&amp;node=40:7.0.1.1.1.12&amp;rgn=div6" TargetMode="External"/><Relationship Id="rId24" Type="http://schemas.openxmlformats.org/officeDocument/2006/relationships/hyperlink" Target="http://www.ecfr.gov/graphics/pdfs/er13jn07.034.pdf" TargetMode="External"/><Relationship Id="rId32" Type="http://schemas.openxmlformats.org/officeDocument/2006/relationships/hyperlink" Target="http://www.ecfr.gov/cgi-bin/text-idx?SID=f3fdbc8d6479365eb3b8663db064ff53&amp;node=40:7.0.1.1.1.12&amp;rgn=div6" TargetMode="External"/><Relationship Id="rId5" Type="http://schemas.openxmlformats.org/officeDocument/2006/relationships/hyperlink" Target="http://www.ecfr.gov/cgi-bin/text-idx?SID=f3fdbc8d6479365eb3b8663db064ff53&amp;node=40:7.0.1.1.1.12&amp;rgn=div6" TargetMode="External"/><Relationship Id="rId15" Type="http://schemas.openxmlformats.org/officeDocument/2006/relationships/image" Target="media/image1.gif"/><Relationship Id="rId23" Type="http://schemas.openxmlformats.org/officeDocument/2006/relationships/image" Target="media/image4.gif"/><Relationship Id="rId28" Type="http://schemas.openxmlformats.org/officeDocument/2006/relationships/hyperlink" Target="http://www.ecfr.gov/graphics/pdfs/er13jn07.036.pdf" TargetMode="External"/><Relationship Id="rId10" Type="http://schemas.openxmlformats.org/officeDocument/2006/relationships/hyperlink" Target="http://www.ecfr.gov/cgi-bin/text-idx?SID=f3fdbc8d6479365eb3b8663db064ff53&amp;node=40:7.0.1.1.1.12&amp;rgn=div6" TargetMode="External"/><Relationship Id="rId19" Type="http://schemas.openxmlformats.org/officeDocument/2006/relationships/hyperlink" Target="http://www.ecfr.gov/cgi-bin/text-idx?SID=f3fdbc8d6479365eb3b8663db064ff53&amp;node=40:7.0.1.1.1.12&amp;rgn=div6" TargetMode="External"/><Relationship Id="rId31" Type="http://schemas.openxmlformats.org/officeDocument/2006/relationships/hyperlink" Target="http://www.ecfr.gov/cgi-bin/text-idx?SID=f3fdbc8d6479365eb3b8663db064ff53&amp;node=40:7.0.1.1.1.12&amp;rgn=div6" TargetMode="External"/><Relationship Id="rId4" Type="http://schemas.openxmlformats.org/officeDocument/2006/relationships/hyperlink" Target="http://www.ecfr.gov/cgi-bin/text-idx?SID=f3fdbc8d6479365eb3b8663db064ff53&amp;node=40:7.0.1.1.1.12&amp;rgn=div6" TargetMode="External"/><Relationship Id="rId9" Type="http://schemas.openxmlformats.org/officeDocument/2006/relationships/hyperlink" Target="http://www.ecfr.gov/cgi-bin/text-idx?SID=f3fdbc8d6479365eb3b8663db064ff53&amp;node=40:7.0.1.1.1.12&amp;rgn=div6" TargetMode="External"/><Relationship Id="rId14" Type="http://schemas.openxmlformats.org/officeDocument/2006/relationships/hyperlink" Target="http://www.ecfr.gov/cgi-bin/text-idx?SID=f3fdbc8d6479365eb3b8663db064ff53&amp;node=40:7.0.1.1.1.12&amp;rgn=div6#_top" TargetMode="External"/><Relationship Id="rId22" Type="http://schemas.openxmlformats.org/officeDocument/2006/relationships/hyperlink" Target="http://www.ecfr.gov/graphics/pdfs/er13jn07.033.pdf" TargetMode="External"/><Relationship Id="rId27" Type="http://schemas.openxmlformats.org/officeDocument/2006/relationships/image" Target="media/image6.gif"/><Relationship Id="rId30" Type="http://schemas.openxmlformats.org/officeDocument/2006/relationships/hyperlink" Target="http://www.ecfr.gov/cgi-bin/text-idx?SID=f3fdbc8d6479365eb3b8663db064ff53&amp;node=40:7.0.1.1.1.12&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11691</Words>
  <Characters>66639</Characters>
  <Application>Microsoft Office Word</Application>
  <DocSecurity>0</DocSecurity>
  <Lines>555</Lines>
  <Paragraphs>156</Paragraphs>
  <ScaleCrop>false</ScaleCrop>
  <Company/>
  <LinksUpToDate>false</LinksUpToDate>
  <CharactersWithSpaces>78174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Steele, Brent C.</dc:creator>
  <cp:keywords/>
  <dc:description/>
  <cp:lastModifiedBy>Steele, Brent C.</cp:lastModifiedBy>
  <cp:revision>1</cp:revision>
  <dcterms:created xsi:type="dcterms:W3CDTF">2014-05-15T12:34:00Z</dcterms:created>
  <dcterms:modified xsi:type="dcterms:W3CDTF">2014-05-15T12:35:00Z</dcterms:modified>
</cp:coreProperties>
</file>